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F8A9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</w:rPr>
      </w:pPr>
    </w:p>
    <w:p w14:paraId="6FAF586A" w14:textId="77777777" w:rsidR="005A60C7" w:rsidRPr="00A04DB4" w:rsidRDefault="005A60C7" w:rsidP="005A60C7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Direito da Economia (LM 105)</w:t>
      </w:r>
    </w:p>
    <w:p w14:paraId="34DFBF5D" w14:textId="77777777" w:rsidR="005A60C7" w:rsidRPr="00A04DB4" w:rsidRDefault="005A60C7" w:rsidP="005A60C7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Ano académico 201</w:t>
      </w:r>
      <w:r>
        <w:rPr>
          <w:rFonts w:asciiTheme="minorHAnsi" w:hAnsiTheme="minorHAnsi"/>
          <w:b/>
        </w:rPr>
        <w:t>7</w:t>
      </w:r>
      <w:r w:rsidRPr="00A04DB4">
        <w:rPr>
          <w:rFonts w:asciiTheme="minorHAnsi" w:hAnsiTheme="minorHAnsi"/>
          <w:b/>
        </w:rPr>
        <w:t>/201</w:t>
      </w:r>
      <w:r>
        <w:rPr>
          <w:rFonts w:asciiTheme="minorHAnsi" w:hAnsiTheme="minorHAnsi"/>
          <w:b/>
        </w:rPr>
        <w:t>8</w:t>
      </w:r>
      <w:r w:rsidRPr="00A04DB4">
        <w:rPr>
          <w:rFonts w:asciiTheme="minorHAnsi" w:hAnsiTheme="minorHAnsi"/>
          <w:b/>
        </w:rPr>
        <w:t xml:space="preserve"> – 2.º semestre</w:t>
      </w:r>
    </w:p>
    <w:p w14:paraId="06BD1926" w14:textId="77777777" w:rsidR="005A60C7" w:rsidRPr="00A04DB4" w:rsidRDefault="005A60C7" w:rsidP="005A60C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A04DB4">
        <w:rPr>
          <w:rFonts w:asciiTheme="minorHAnsi" w:hAnsiTheme="minorHAnsi"/>
          <w:b/>
        </w:rPr>
        <w:t xml:space="preserve"> J</w:t>
      </w:r>
      <w:r>
        <w:rPr>
          <w:rFonts w:asciiTheme="minorHAnsi" w:hAnsiTheme="minorHAnsi"/>
          <w:b/>
        </w:rPr>
        <w:t>a</w:t>
      </w:r>
      <w:r w:rsidRPr="00A04DB4">
        <w:rPr>
          <w:rFonts w:asciiTheme="minorHAnsi" w:hAnsiTheme="minorHAnsi"/>
          <w:b/>
        </w:rPr>
        <w:t>n 201</w:t>
      </w:r>
      <w:r>
        <w:rPr>
          <w:rFonts w:asciiTheme="minorHAnsi" w:hAnsiTheme="minorHAnsi"/>
          <w:b/>
        </w:rPr>
        <w:t>8</w:t>
      </w:r>
      <w:r w:rsidRPr="00A04DB4">
        <w:rPr>
          <w:rFonts w:asciiTheme="minorHAnsi" w:hAnsiTheme="minorHAnsi"/>
          <w:b/>
        </w:rPr>
        <w:t xml:space="preserve"> / </w:t>
      </w:r>
      <w:r>
        <w:rPr>
          <w:rFonts w:asciiTheme="minorHAnsi" w:hAnsiTheme="minorHAnsi"/>
          <w:b/>
        </w:rPr>
        <w:t>13</w:t>
      </w:r>
      <w:r w:rsidRPr="00A04DB4">
        <w:rPr>
          <w:rFonts w:asciiTheme="minorHAnsi" w:hAnsiTheme="minorHAnsi"/>
          <w:b/>
        </w:rPr>
        <w:t>h-1</w:t>
      </w:r>
      <w:r>
        <w:rPr>
          <w:rFonts w:asciiTheme="minorHAnsi" w:hAnsiTheme="minorHAnsi"/>
          <w:b/>
        </w:rPr>
        <w:t>6</w:t>
      </w:r>
      <w:r w:rsidRPr="00A04DB4">
        <w:rPr>
          <w:rFonts w:asciiTheme="minorHAnsi" w:hAnsiTheme="minorHAnsi"/>
          <w:b/>
        </w:rPr>
        <w:t xml:space="preserve">h / </w:t>
      </w:r>
      <w:r>
        <w:rPr>
          <w:rFonts w:asciiTheme="minorHAnsi" w:hAnsiTheme="minorHAnsi"/>
          <w:b/>
        </w:rPr>
        <w:t>sala 123</w:t>
      </w:r>
    </w:p>
    <w:p w14:paraId="1F7A696D" w14:textId="77777777" w:rsidR="005A60C7" w:rsidRPr="00A04DB4" w:rsidRDefault="005A60C7" w:rsidP="005A60C7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Exame final</w:t>
      </w:r>
      <w:r>
        <w:rPr>
          <w:rFonts w:asciiTheme="minorHAnsi" w:hAnsiTheme="minorHAnsi"/>
          <w:b/>
        </w:rPr>
        <w:t xml:space="preserve"> – época de recurso</w:t>
      </w:r>
    </w:p>
    <w:p w14:paraId="362B2AED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</w:rPr>
      </w:pPr>
    </w:p>
    <w:p w14:paraId="311AA602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A04DB4">
        <w:rPr>
          <w:rFonts w:asciiTheme="minorHAnsi" w:hAnsiTheme="minorHAnsi"/>
          <w:b/>
          <w:u w:val="single"/>
        </w:rPr>
        <w:t>Instruções:</w:t>
      </w:r>
    </w:p>
    <w:p w14:paraId="665F6162" w14:textId="77777777" w:rsidR="005A60C7" w:rsidRPr="00A04DB4" w:rsidRDefault="005A60C7" w:rsidP="005A60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O exame tem a duração total de 180 (cento e oitenta) minutos </w:t>
      </w:r>
      <w:r w:rsidRPr="00A04DB4">
        <w:rPr>
          <w:rFonts w:asciiTheme="minorHAnsi" w:hAnsiTheme="minorHAnsi"/>
          <w:i/>
        </w:rPr>
        <w:t>improrrogáveis</w:t>
      </w:r>
      <w:r w:rsidRPr="00A04DB4">
        <w:rPr>
          <w:rFonts w:asciiTheme="minorHAnsi" w:hAnsiTheme="minorHAnsi"/>
        </w:rPr>
        <w:t>.</w:t>
      </w:r>
    </w:p>
    <w:p w14:paraId="7427D174" w14:textId="77777777" w:rsidR="005A60C7" w:rsidRPr="00A04DB4" w:rsidRDefault="005A60C7" w:rsidP="005A60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>O exame é composto por</w:t>
      </w:r>
      <w:r>
        <w:rPr>
          <w:rFonts w:asciiTheme="minorHAnsi" w:hAnsiTheme="minorHAnsi"/>
        </w:rPr>
        <w:t xml:space="preserve"> 2 (dois) grupos (A e B)</w:t>
      </w:r>
      <w:r w:rsidRPr="00A04DB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aos</w:t>
      </w:r>
      <w:r w:rsidRPr="00A04DB4">
        <w:rPr>
          <w:rFonts w:asciiTheme="minorHAnsi" w:hAnsiTheme="minorHAnsi"/>
        </w:rPr>
        <w:t xml:space="preserve"> quais corresponde a pontuação total de 20 (vinte) valores.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 xml:space="preserve">No grupo B deve optar entre as questões 1 </w:t>
      </w:r>
      <w:r>
        <w:rPr>
          <w:rFonts w:asciiTheme="minorHAnsi" w:hAnsiTheme="minorHAnsi"/>
          <w:i/>
          <w:u w:val="single"/>
        </w:rPr>
        <w:t xml:space="preserve">ou </w:t>
      </w:r>
      <w:r>
        <w:rPr>
          <w:rFonts w:asciiTheme="minorHAnsi" w:hAnsiTheme="minorHAnsi"/>
          <w:u w:val="single"/>
        </w:rPr>
        <w:t>2.</w:t>
      </w:r>
    </w:p>
    <w:p w14:paraId="369B3BB6" w14:textId="77777777" w:rsidR="005A60C7" w:rsidRPr="00A04DB4" w:rsidRDefault="005A60C7" w:rsidP="005A60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As respostas devem ser redigidas com caligrafia </w:t>
      </w:r>
      <w:r w:rsidRPr="00A04DB4">
        <w:rPr>
          <w:rFonts w:asciiTheme="minorHAnsi" w:hAnsiTheme="minorHAnsi"/>
          <w:b/>
          <w:i/>
        </w:rPr>
        <w:t>legível</w:t>
      </w:r>
      <w:r w:rsidRPr="00A04DB4">
        <w:rPr>
          <w:rFonts w:asciiTheme="minorHAnsi" w:hAnsiTheme="minorHAnsi"/>
          <w:i/>
        </w:rPr>
        <w:t xml:space="preserve"> </w:t>
      </w:r>
      <w:r w:rsidRPr="00A04DB4">
        <w:rPr>
          <w:rFonts w:asciiTheme="minorHAnsi" w:hAnsiTheme="minorHAnsi"/>
        </w:rPr>
        <w:t>e não devem ultrap</w:t>
      </w:r>
      <w:r>
        <w:rPr>
          <w:rFonts w:asciiTheme="minorHAnsi" w:hAnsiTheme="minorHAnsi"/>
        </w:rPr>
        <w:t>assar o limite total máximo de 4</w:t>
      </w:r>
      <w:r w:rsidRPr="00A04DB4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quatro</w:t>
      </w:r>
      <w:r w:rsidRPr="00A04DB4">
        <w:rPr>
          <w:rFonts w:asciiTheme="minorHAnsi" w:hAnsiTheme="minorHAnsi"/>
        </w:rPr>
        <w:t xml:space="preserve">) páginas. </w:t>
      </w:r>
      <w:r w:rsidRPr="00A04DB4">
        <w:rPr>
          <w:rFonts w:asciiTheme="minorHAnsi" w:hAnsiTheme="minorHAnsi"/>
          <w:b/>
        </w:rPr>
        <w:t>As respostas que excederem o limite total de páginas não serão consideradas para efeitos de avaliação do exame escrito</w:t>
      </w:r>
      <w:r w:rsidRPr="00A04DB4">
        <w:rPr>
          <w:rFonts w:asciiTheme="minorHAnsi" w:hAnsiTheme="minorHAnsi"/>
        </w:rPr>
        <w:t>.</w:t>
      </w:r>
    </w:p>
    <w:p w14:paraId="7C4E9698" w14:textId="77777777" w:rsidR="005A60C7" w:rsidRPr="00A04DB4" w:rsidRDefault="005A60C7" w:rsidP="005A60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No decurso do exame está autorizada a consulta de legislação (simples e anotada), apontamentos, fotocópias e livros </w:t>
      </w:r>
      <w:r w:rsidRPr="00A04DB4">
        <w:rPr>
          <w:rFonts w:asciiTheme="minorHAnsi" w:hAnsiTheme="minorHAnsi"/>
          <w:u w:val="single"/>
        </w:rPr>
        <w:t>do próprio</w:t>
      </w:r>
      <w:r w:rsidRPr="00A04DB4">
        <w:rPr>
          <w:rFonts w:asciiTheme="minorHAnsi" w:hAnsiTheme="minorHAnsi"/>
        </w:rPr>
        <w:t xml:space="preserve">. </w:t>
      </w:r>
    </w:p>
    <w:p w14:paraId="6DF4517B" w14:textId="77777777" w:rsidR="005A60C7" w:rsidRPr="00A04DB4" w:rsidRDefault="005A60C7" w:rsidP="005A60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A utilização de </w:t>
      </w:r>
      <w:proofErr w:type="spellStart"/>
      <w:r w:rsidRPr="00A04DB4">
        <w:rPr>
          <w:rFonts w:asciiTheme="minorHAnsi" w:hAnsiTheme="minorHAnsi"/>
          <w:i/>
        </w:rPr>
        <w:t>tablets</w:t>
      </w:r>
      <w:proofErr w:type="spellEnd"/>
      <w:r w:rsidRPr="00A04DB4">
        <w:rPr>
          <w:rFonts w:asciiTheme="minorHAnsi" w:hAnsiTheme="minorHAnsi"/>
        </w:rPr>
        <w:t xml:space="preserve">, </w:t>
      </w:r>
      <w:proofErr w:type="spellStart"/>
      <w:r w:rsidRPr="00A04DB4">
        <w:rPr>
          <w:rFonts w:asciiTheme="minorHAnsi" w:hAnsiTheme="minorHAnsi"/>
          <w:i/>
        </w:rPr>
        <w:t>smartphones</w:t>
      </w:r>
      <w:proofErr w:type="spellEnd"/>
      <w:r w:rsidRPr="00A04DB4">
        <w:rPr>
          <w:rFonts w:asciiTheme="minorHAnsi" w:hAnsiTheme="minorHAnsi"/>
        </w:rPr>
        <w:t xml:space="preserve">, </w:t>
      </w:r>
      <w:r w:rsidRPr="00A04DB4">
        <w:rPr>
          <w:rFonts w:asciiTheme="minorHAnsi" w:hAnsiTheme="minorHAnsi"/>
          <w:i/>
        </w:rPr>
        <w:t>laptops</w:t>
      </w:r>
      <w:r w:rsidRPr="00A04DB4">
        <w:rPr>
          <w:rFonts w:asciiTheme="minorHAnsi" w:hAnsiTheme="minorHAnsi"/>
        </w:rPr>
        <w:t xml:space="preserve"> ou qualquer outro equipamento </w:t>
      </w:r>
      <w:proofErr w:type="spellStart"/>
      <w:r w:rsidRPr="00A04DB4">
        <w:rPr>
          <w:rFonts w:asciiTheme="minorHAnsi" w:hAnsiTheme="minorHAnsi"/>
        </w:rPr>
        <w:t>eletrónico</w:t>
      </w:r>
      <w:proofErr w:type="spellEnd"/>
      <w:r w:rsidRPr="00A04DB4">
        <w:rPr>
          <w:rFonts w:asciiTheme="minorHAnsi" w:hAnsiTheme="minorHAnsi"/>
        </w:rPr>
        <w:t xml:space="preserve"> que permita o acesso à internet não é permitida durante toda a duração do exame.</w:t>
      </w:r>
    </w:p>
    <w:p w14:paraId="50E6DD16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</w:rPr>
      </w:pPr>
    </w:p>
    <w:p w14:paraId="43BC6324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</w:rPr>
      </w:pPr>
    </w:p>
    <w:p w14:paraId="2D34473A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Boa sorte!</w:t>
      </w:r>
    </w:p>
    <w:p w14:paraId="499D4C2B" w14:textId="77777777" w:rsidR="005A60C7" w:rsidRPr="00A04DB4" w:rsidRDefault="005A60C7" w:rsidP="005A60C7">
      <w:p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br w:type="page"/>
      </w:r>
    </w:p>
    <w:p w14:paraId="327FEE21" w14:textId="77777777" w:rsidR="005A60C7" w:rsidRDefault="005A60C7" w:rsidP="005A60C7">
      <w:pPr>
        <w:pStyle w:val="c01pointnumerotealtn"/>
        <w:spacing w:after="240" w:afterAutospacing="0"/>
        <w:ind w:firstLine="28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DF51CF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Grupo A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(15 valores)</w:t>
      </w:r>
    </w:p>
    <w:p w14:paraId="70DF4007" w14:textId="77777777" w:rsidR="005A60C7" w:rsidRPr="00EB682E" w:rsidRDefault="005A60C7" w:rsidP="005A60C7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EB682E">
        <w:rPr>
          <w:rFonts w:asciiTheme="minorHAnsi" w:hAnsiTheme="minorHAnsi"/>
          <w:sz w:val="24"/>
          <w:szCs w:val="24"/>
        </w:rPr>
        <w:t xml:space="preserve">Em Espanha, a </w:t>
      </w:r>
      <w:proofErr w:type="spellStart"/>
      <w:r w:rsidRPr="00EB682E">
        <w:rPr>
          <w:rFonts w:asciiTheme="minorHAnsi" w:hAnsiTheme="minorHAnsi"/>
          <w:sz w:val="24"/>
          <w:szCs w:val="24"/>
        </w:rPr>
        <w:t>prestação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EB682E">
        <w:rPr>
          <w:rFonts w:asciiTheme="minorHAnsi" w:hAnsiTheme="minorHAnsi"/>
          <w:sz w:val="24"/>
          <w:szCs w:val="24"/>
        </w:rPr>
        <w:t>serviços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farmacêuticos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so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́ pode ser exercida por </w:t>
      </w:r>
      <w:proofErr w:type="spellStart"/>
      <w:r w:rsidRPr="00EB682E">
        <w:rPr>
          <w:rFonts w:asciiTheme="minorHAnsi" w:hAnsiTheme="minorHAnsi"/>
          <w:sz w:val="24"/>
          <w:szCs w:val="24"/>
        </w:rPr>
        <w:t>fa</w:t>
      </w:r>
      <w:bookmarkStart w:id="0" w:name="_GoBack"/>
      <w:bookmarkEnd w:id="0"/>
      <w:r w:rsidRPr="00EB682E">
        <w:rPr>
          <w:rFonts w:asciiTheme="minorHAnsi" w:hAnsiTheme="minorHAnsi"/>
          <w:sz w:val="24"/>
          <w:szCs w:val="24"/>
        </w:rPr>
        <w:t>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municipais ou por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privadas ao abrigo de uma </w:t>
      </w:r>
      <w:proofErr w:type="spellStart"/>
      <w:r>
        <w:rPr>
          <w:rFonts w:asciiTheme="minorHAnsi" w:hAnsiTheme="minorHAnsi"/>
          <w:sz w:val="24"/>
          <w:szCs w:val="24"/>
        </w:rPr>
        <w:t>autorizaç</w:t>
      </w:r>
      <w:r w:rsidRPr="00EB682E">
        <w:rPr>
          <w:rFonts w:asciiTheme="minorHAnsi" w:hAnsiTheme="minorHAnsi"/>
          <w:sz w:val="24"/>
          <w:szCs w:val="24"/>
        </w:rPr>
        <w:t>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pública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. O estabelecimento das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EB682E">
        <w:rPr>
          <w:rFonts w:asciiTheme="minorHAnsi" w:hAnsiTheme="minorHAnsi"/>
          <w:sz w:val="24"/>
          <w:szCs w:val="24"/>
        </w:rPr>
        <w:t>território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está sujeito a um regime de </w:t>
      </w:r>
      <w:proofErr w:type="spellStart"/>
      <w:r w:rsidRPr="00EB682E">
        <w:rPr>
          <w:rFonts w:asciiTheme="minorHAnsi" w:hAnsiTheme="minorHAnsi"/>
          <w:sz w:val="24"/>
          <w:szCs w:val="24"/>
        </w:rPr>
        <w:t>planificação</w:t>
      </w:r>
      <w:proofErr w:type="spellEnd"/>
      <w:r>
        <w:rPr>
          <w:rFonts w:asciiTheme="minorHAnsi" w:hAnsiTheme="minorHAnsi"/>
          <w:sz w:val="24"/>
          <w:szCs w:val="24"/>
        </w:rPr>
        <w:t xml:space="preserve"> feito pelo Estado</w:t>
      </w:r>
      <w:r w:rsidRPr="00EB682E">
        <w:rPr>
          <w:rFonts w:asciiTheme="minorHAnsi" w:hAnsiTheme="minorHAnsi"/>
          <w:sz w:val="24"/>
          <w:szCs w:val="24"/>
        </w:rPr>
        <w:t xml:space="preserve">, nos termos do qual a </w:t>
      </w:r>
      <w:proofErr w:type="spellStart"/>
      <w:r w:rsidRPr="00EB682E">
        <w:rPr>
          <w:rFonts w:asciiTheme="minorHAnsi" w:hAnsiTheme="minorHAnsi"/>
          <w:sz w:val="24"/>
          <w:szCs w:val="24"/>
        </w:rPr>
        <w:t>instalação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de uma nova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está sujeita à </w:t>
      </w:r>
      <w:proofErr w:type="spellStart"/>
      <w:r w:rsidRPr="00EB682E">
        <w:rPr>
          <w:rFonts w:asciiTheme="minorHAnsi" w:hAnsiTheme="minorHAnsi"/>
          <w:sz w:val="24"/>
          <w:szCs w:val="24"/>
        </w:rPr>
        <w:t>concessão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de uma </w:t>
      </w:r>
      <w:proofErr w:type="spellStart"/>
      <w:r w:rsidRPr="00EB682E">
        <w:rPr>
          <w:rFonts w:asciiTheme="minorHAnsi" w:hAnsiTheme="minorHAnsi"/>
          <w:sz w:val="24"/>
          <w:szCs w:val="24"/>
        </w:rPr>
        <w:t>autorização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prévia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, e as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que podem ser abertas </w:t>
      </w:r>
      <w:proofErr w:type="spellStart"/>
      <w:r w:rsidRPr="00EB682E">
        <w:rPr>
          <w:rFonts w:asciiTheme="minorHAnsi" w:hAnsiTheme="minorHAnsi"/>
          <w:sz w:val="24"/>
          <w:szCs w:val="24"/>
        </w:rPr>
        <w:t>estão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limitadas a um </w:t>
      </w:r>
      <w:proofErr w:type="spellStart"/>
      <w:r w:rsidRPr="00EB682E">
        <w:rPr>
          <w:rFonts w:asciiTheme="minorHAnsi" w:hAnsiTheme="minorHAnsi"/>
          <w:sz w:val="24"/>
          <w:szCs w:val="24"/>
        </w:rPr>
        <w:t>número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máximo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 repartidas de maneira equilibrada no </w:t>
      </w:r>
      <w:proofErr w:type="spellStart"/>
      <w:r w:rsidRPr="00EB682E">
        <w:rPr>
          <w:rFonts w:asciiTheme="minorHAnsi" w:hAnsiTheme="minorHAnsi"/>
          <w:sz w:val="24"/>
          <w:szCs w:val="24"/>
        </w:rPr>
        <w:t>território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, em conformidade com </w:t>
      </w:r>
      <w:r>
        <w:rPr>
          <w:rFonts w:asciiTheme="minorHAnsi" w:hAnsiTheme="minorHAnsi"/>
          <w:sz w:val="24"/>
          <w:szCs w:val="24"/>
        </w:rPr>
        <w:t>um</w:t>
      </w:r>
      <w:r w:rsidRPr="00EB682E">
        <w:rPr>
          <w:rFonts w:asciiTheme="minorHAnsi" w:hAnsiTheme="minorHAnsi"/>
          <w:sz w:val="24"/>
          <w:szCs w:val="24"/>
        </w:rPr>
        <w:t xml:space="preserve"> «quadro </w:t>
      </w:r>
      <w:proofErr w:type="spellStart"/>
      <w:r>
        <w:rPr>
          <w:rFonts w:asciiTheme="minorHAnsi" w:hAnsiTheme="minorHAnsi"/>
          <w:sz w:val="24"/>
          <w:szCs w:val="24"/>
        </w:rPr>
        <w:t>greográfico</w:t>
      </w:r>
      <w:proofErr w:type="spellEnd"/>
      <w:r w:rsidRPr="00EB682E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(regime de contingentação)</w:t>
      </w:r>
      <w:r w:rsidRPr="00EB682E">
        <w:rPr>
          <w:rFonts w:asciiTheme="minorHAnsi" w:hAnsiTheme="minorHAnsi"/>
          <w:sz w:val="24"/>
          <w:szCs w:val="24"/>
        </w:rPr>
        <w:t xml:space="preserve">. Com este regime </w:t>
      </w:r>
      <w:r>
        <w:rPr>
          <w:rFonts w:asciiTheme="minorHAnsi" w:hAnsiTheme="minorHAnsi"/>
          <w:sz w:val="24"/>
          <w:szCs w:val="24"/>
        </w:rPr>
        <w:t xml:space="preserve">legal </w:t>
      </w:r>
      <w:r w:rsidRPr="00EB682E">
        <w:rPr>
          <w:rFonts w:asciiTheme="minorHAnsi" w:hAnsiTheme="minorHAnsi"/>
          <w:sz w:val="24"/>
          <w:szCs w:val="24"/>
        </w:rPr>
        <w:t xml:space="preserve">pretende-se, por um lado, evitar o risco de as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se concentrarem unicamente nas localidades mais atrativas comercialmente e garantir a cada uma delas uma quota de mercado e, por outro lado, cobrir as necessidades de medicamentos na totalidade do </w:t>
      </w:r>
      <w:proofErr w:type="spellStart"/>
      <w:r w:rsidRPr="00EB682E">
        <w:rPr>
          <w:rFonts w:asciiTheme="minorHAnsi" w:hAnsiTheme="minorHAnsi"/>
          <w:sz w:val="24"/>
          <w:szCs w:val="24"/>
        </w:rPr>
        <w:t>território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nacional. </w:t>
      </w:r>
    </w:p>
    <w:p w14:paraId="3FA836CB" w14:textId="77777777" w:rsidR="005A60C7" w:rsidRPr="00EB682E" w:rsidRDefault="005A60C7" w:rsidP="005A60C7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EB682E">
        <w:rPr>
          <w:rFonts w:asciiTheme="minorHAnsi" w:hAnsiTheme="minorHAnsi"/>
          <w:sz w:val="24"/>
          <w:szCs w:val="24"/>
        </w:rPr>
        <w:t xml:space="preserve">A partir de 2006, </w:t>
      </w:r>
      <w:r>
        <w:rPr>
          <w:rFonts w:asciiTheme="minorHAnsi" w:hAnsiTheme="minorHAnsi"/>
          <w:sz w:val="24"/>
          <w:szCs w:val="24"/>
        </w:rPr>
        <w:t>a legislação espanhola passou a</w:t>
      </w:r>
      <w:r w:rsidRPr="00EB68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permitir</w:t>
      </w:r>
      <w:r w:rsidRPr="00EB682E">
        <w:rPr>
          <w:rFonts w:asciiTheme="minorHAnsi" w:hAnsiTheme="minorHAnsi"/>
          <w:sz w:val="24"/>
          <w:szCs w:val="24"/>
        </w:rPr>
        <w:t xml:space="preserve"> a abertura de </w:t>
      </w:r>
      <w:proofErr w:type="spellStart"/>
      <w:r w:rsidRPr="00CB4D7D">
        <w:rPr>
          <w:rFonts w:asciiTheme="minorHAnsi" w:hAnsiTheme="minorHAnsi"/>
          <w:i/>
          <w:sz w:val="24"/>
          <w:szCs w:val="24"/>
        </w:rPr>
        <w:t>parafarmácias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, autorizadas a vender medicamentos </w:t>
      </w:r>
      <w:proofErr w:type="spellStart"/>
      <w:r w:rsidRPr="00EB682E">
        <w:rPr>
          <w:rFonts w:asciiTheme="minorHAnsi" w:hAnsiTheme="minorHAnsi"/>
          <w:i/>
          <w:sz w:val="24"/>
          <w:szCs w:val="24"/>
        </w:rPr>
        <w:t>não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sujeitos a receita </w:t>
      </w:r>
      <w:proofErr w:type="spellStart"/>
      <w:r w:rsidRPr="00EB682E">
        <w:rPr>
          <w:rFonts w:asciiTheme="minorHAnsi" w:hAnsiTheme="minorHAnsi"/>
          <w:sz w:val="24"/>
          <w:szCs w:val="24"/>
        </w:rPr>
        <w:t>médica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EB682E">
        <w:rPr>
          <w:rFonts w:asciiTheme="minorHAnsi" w:hAnsiTheme="minorHAnsi"/>
          <w:sz w:val="24"/>
          <w:szCs w:val="24"/>
        </w:rPr>
        <w:t xml:space="preserve"> cujo </w:t>
      </w:r>
      <w:r>
        <w:rPr>
          <w:rFonts w:asciiTheme="minorHAnsi" w:hAnsiTheme="minorHAnsi"/>
          <w:sz w:val="24"/>
          <w:szCs w:val="24"/>
        </w:rPr>
        <w:t>custo é suportado pelo cliente e</w:t>
      </w:r>
      <w:r w:rsidRPr="00EB682E">
        <w:rPr>
          <w:rFonts w:asciiTheme="minorHAnsi" w:hAnsiTheme="minorHAnsi"/>
          <w:sz w:val="24"/>
          <w:szCs w:val="24"/>
        </w:rPr>
        <w:t xml:space="preserve"> que podem ser objeto de publicidade destinada ao </w:t>
      </w:r>
      <w:proofErr w:type="spellStart"/>
      <w:r w:rsidRPr="00EB682E">
        <w:rPr>
          <w:rFonts w:asciiTheme="minorHAnsi" w:hAnsiTheme="minorHAnsi"/>
          <w:sz w:val="24"/>
          <w:szCs w:val="24"/>
        </w:rPr>
        <w:t>público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. </w:t>
      </w:r>
    </w:p>
    <w:p w14:paraId="334AD31A" w14:textId="77777777" w:rsidR="005A60C7" w:rsidRPr="00EB682E" w:rsidRDefault="005A60C7" w:rsidP="005A60C7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EB682E">
        <w:rPr>
          <w:rFonts w:asciiTheme="minorHAnsi" w:hAnsiTheme="minorHAnsi"/>
          <w:sz w:val="24"/>
          <w:szCs w:val="24"/>
        </w:rPr>
        <w:t xml:space="preserve">I. </w:t>
      </w:r>
      <w:proofErr w:type="spellStart"/>
      <w:r w:rsidRPr="00EB682E">
        <w:rPr>
          <w:rFonts w:asciiTheme="minorHAnsi" w:hAnsiTheme="minorHAnsi"/>
          <w:sz w:val="24"/>
          <w:szCs w:val="24"/>
        </w:rPr>
        <w:t>Espejo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, P. </w:t>
      </w:r>
      <w:proofErr w:type="spellStart"/>
      <w:r w:rsidRPr="00EB682E">
        <w:rPr>
          <w:rFonts w:asciiTheme="minorHAnsi" w:hAnsiTheme="minorHAnsi"/>
          <w:sz w:val="24"/>
          <w:szCs w:val="24"/>
        </w:rPr>
        <w:t>Muñoz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 C. </w:t>
      </w:r>
      <w:proofErr w:type="spellStart"/>
      <w:r w:rsidRPr="00EB682E">
        <w:rPr>
          <w:rFonts w:asciiTheme="minorHAnsi" w:hAnsiTheme="minorHAnsi"/>
          <w:sz w:val="24"/>
          <w:szCs w:val="24"/>
        </w:rPr>
        <w:t>Calatrava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B682E">
        <w:rPr>
          <w:rFonts w:asciiTheme="minorHAnsi" w:hAnsiTheme="minorHAnsi"/>
          <w:sz w:val="24"/>
          <w:szCs w:val="24"/>
        </w:rPr>
        <w:t>três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farmacêuticas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qualificadas inscritas na ordem dos </w:t>
      </w:r>
      <w:proofErr w:type="spellStart"/>
      <w:r w:rsidRPr="00EB682E">
        <w:rPr>
          <w:rFonts w:asciiTheme="minorHAnsi" w:hAnsiTheme="minorHAnsi"/>
          <w:sz w:val="24"/>
          <w:szCs w:val="24"/>
        </w:rPr>
        <w:t>farmacêuticos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de Barcelona, pediram </w:t>
      </w:r>
      <w:proofErr w:type="spellStart"/>
      <w:r w:rsidRPr="00EB682E">
        <w:rPr>
          <w:rFonts w:asciiTheme="minorHAnsi" w:hAnsiTheme="minorHAnsi"/>
          <w:sz w:val="24"/>
          <w:szCs w:val="24"/>
        </w:rPr>
        <w:t>autorizações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de venda, nas respetivas </w:t>
      </w:r>
      <w:proofErr w:type="spellStart"/>
      <w:r w:rsidRPr="00EB682E">
        <w:rPr>
          <w:rFonts w:asciiTheme="minorHAnsi" w:hAnsiTheme="minorHAnsi"/>
          <w:sz w:val="24"/>
          <w:szCs w:val="24"/>
        </w:rPr>
        <w:t>parafarmácias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, de medicamentos </w:t>
      </w:r>
      <w:r w:rsidRPr="00EB682E">
        <w:rPr>
          <w:rFonts w:asciiTheme="minorHAnsi" w:hAnsiTheme="minorHAnsi"/>
          <w:i/>
          <w:sz w:val="24"/>
          <w:szCs w:val="24"/>
        </w:rPr>
        <w:t xml:space="preserve">sujeitos a receita </w:t>
      </w:r>
      <w:proofErr w:type="spellStart"/>
      <w:r w:rsidRPr="00EB682E">
        <w:rPr>
          <w:rFonts w:asciiTheme="minorHAnsi" w:hAnsiTheme="minorHAnsi"/>
          <w:i/>
          <w:sz w:val="24"/>
          <w:szCs w:val="24"/>
        </w:rPr>
        <w:t>médica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não comparticipados (i.e. </w:t>
      </w:r>
      <w:r w:rsidRPr="00EB682E">
        <w:rPr>
          <w:rFonts w:asciiTheme="minorHAnsi" w:hAnsiTheme="minorHAnsi"/>
          <w:sz w:val="24"/>
          <w:szCs w:val="24"/>
        </w:rPr>
        <w:t xml:space="preserve">cujo custo é pago na </w:t>
      </w:r>
      <w:proofErr w:type="spellStart"/>
      <w:r w:rsidRPr="00EB682E">
        <w:rPr>
          <w:rFonts w:asciiTheme="minorHAnsi" w:hAnsiTheme="minorHAnsi"/>
          <w:sz w:val="24"/>
          <w:szCs w:val="24"/>
        </w:rPr>
        <w:t>íntegra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pelo cliente</w:t>
      </w:r>
      <w:r>
        <w:rPr>
          <w:rFonts w:asciiTheme="minorHAnsi" w:hAnsiTheme="minorHAnsi"/>
          <w:sz w:val="24"/>
          <w:szCs w:val="24"/>
        </w:rPr>
        <w:t>)</w:t>
      </w:r>
      <w:r w:rsidRPr="00EB682E">
        <w:rPr>
          <w:rFonts w:asciiTheme="minorHAnsi" w:hAnsiTheme="minorHAnsi"/>
          <w:sz w:val="24"/>
          <w:szCs w:val="24"/>
        </w:rPr>
        <w:t xml:space="preserve">. Tal pedido foi indeferido pelas autoridades espanholas competentes com base no facto de a </w:t>
      </w:r>
      <w:proofErr w:type="spellStart"/>
      <w:r w:rsidRPr="00EB682E">
        <w:rPr>
          <w:rFonts w:asciiTheme="minorHAnsi" w:hAnsiTheme="minorHAnsi"/>
          <w:sz w:val="24"/>
          <w:szCs w:val="24"/>
        </w:rPr>
        <w:t>legislação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interna </w:t>
      </w:r>
      <w:proofErr w:type="spellStart"/>
      <w:r w:rsidRPr="00EB682E">
        <w:rPr>
          <w:rFonts w:asciiTheme="minorHAnsi" w:hAnsiTheme="minorHAnsi"/>
          <w:sz w:val="24"/>
          <w:szCs w:val="24"/>
        </w:rPr>
        <w:t>so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́ autorizar a venda destes medicamentos em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. </w:t>
      </w:r>
    </w:p>
    <w:p w14:paraId="58915F9D" w14:textId="77777777" w:rsidR="005A60C7" w:rsidRDefault="005A60C7" w:rsidP="005A60C7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EB682E">
        <w:rPr>
          <w:rFonts w:asciiTheme="minorHAnsi" w:hAnsiTheme="minorHAnsi"/>
          <w:sz w:val="24"/>
          <w:szCs w:val="24"/>
        </w:rPr>
        <w:t xml:space="preserve">As recorrentes impugnaram as </w:t>
      </w:r>
      <w:proofErr w:type="spellStart"/>
      <w:r w:rsidRPr="00EB682E">
        <w:rPr>
          <w:rFonts w:asciiTheme="minorHAnsi" w:hAnsiTheme="minorHAnsi"/>
          <w:sz w:val="24"/>
          <w:szCs w:val="24"/>
        </w:rPr>
        <w:t>decisões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em causa no tribunal competente, alegando que este indeferimento era </w:t>
      </w:r>
      <w:proofErr w:type="spellStart"/>
      <w:r w:rsidRPr="00EB682E">
        <w:rPr>
          <w:rFonts w:asciiTheme="minorHAnsi" w:hAnsiTheme="minorHAnsi"/>
          <w:sz w:val="24"/>
          <w:szCs w:val="24"/>
        </w:rPr>
        <w:t>contrário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ao direito da </w:t>
      </w:r>
      <w:proofErr w:type="spellStart"/>
      <w:r w:rsidRPr="00EB682E">
        <w:rPr>
          <w:rFonts w:asciiTheme="minorHAnsi" w:hAnsiTheme="minorHAnsi"/>
          <w:sz w:val="24"/>
          <w:szCs w:val="24"/>
        </w:rPr>
        <w:t>União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Alegaram ainda que a sujeição da abertura de farmácias a uma autorização administrativa prévia era igualmente contrária ao direito da União. O Estado-Membro recorrido entende que a legislação nacional é compatível com o direito da União e que, ademais, o caso em apreço não apresenta qualquer elemento de conexão com o direito da União uma vez que se trata de situações puramente internas.</w:t>
      </w:r>
    </w:p>
    <w:p w14:paraId="5C0DFBB3" w14:textId="77777777" w:rsidR="005A60C7" w:rsidRDefault="005A60C7" w:rsidP="005A60C7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EB682E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EB682E">
        <w:rPr>
          <w:rFonts w:asciiTheme="minorHAnsi" w:hAnsiTheme="minorHAnsi"/>
          <w:sz w:val="24"/>
          <w:szCs w:val="24"/>
        </w:rPr>
        <w:t>órgão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jurisdicional</w:t>
      </w:r>
      <w:r>
        <w:rPr>
          <w:rFonts w:asciiTheme="minorHAnsi" w:hAnsiTheme="minorHAnsi"/>
          <w:sz w:val="24"/>
          <w:szCs w:val="24"/>
        </w:rPr>
        <w:t xml:space="preserve"> competente</w:t>
      </w:r>
      <w:r w:rsidRPr="00EB68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decidiu suspender a instância e submeter ao Tribunal de Justiça as seguintes questões prejudiciais: “O </w:t>
      </w:r>
      <w:r w:rsidRPr="00EB682E">
        <w:rPr>
          <w:rFonts w:asciiTheme="minorHAnsi" w:hAnsiTheme="minorHAnsi"/>
          <w:sz w:val="24"/>
          <w:szCs w:val="24"/>
        </w:rPr>
        <w:t xml:space="preserve">Tratado do Funcionamento da </w:t>
      </w:r>
      <w:proofErr w:type="spellStart"/>
      <w:r w:rsidRPr="00EB682E">
        <w:rPr>
          <w:rFonts w:asciiTheme="minorHAnsi" w:hAnsiTheme="minorHAnsi"/>
          <w:sz w:val="24"/>
          <w:szCs w:val="24"/>
        </w:rPr>
        <w:t>União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Europeia</w:t>
      </w:r>
      <w:r>
        <w:rPr>
          <w:rFonts w:asciiTheme="minorHAnsi" w:hAnsiTheme="minorHAnsi"/>
          <w:sz w:val="24"/>
          <w:szCs w:val="24"/>
        </w:rPr>
        <w:t>:</w:t>
      </w:r>
    </w:p>
    <w:p w14:paraId="1F7DF0EC" w14:textId="77777777" w:rsidR="005A60C7" w:rsidRDefault="005A60C7" w:rsidP="005A60C7">
      <w:pPr>
        <w:pStyle w:val="NormalWeb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É incompatível com </w:t>
      </w:r>
      <w:r w:rsidRPr="00EB682E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EB682E">
        <w:rPr>
          <w:rFonts w:asciiTheme="minorHAnsi" w:hAnsiTheme="minorHAnsi"/>
          <w:sz w:val="24"/>
          <w:szCs w:val="24"/>
        </w:rPr>
        <w:t>legislação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EB682E">
        <w:rPr>
          <w:rFonts w:asciiTheme="minorHAnsi" w:hAnsiTheme="minorHAnsi"/>
          <w:sz w:val="24"/>
          <w:szCs w:val="24"/>
        </w:rPr>
        <w:t>não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permite a um </w:t>
      </w:r>
      <w:proofErr w:type="spellStart"/>
      <w:r w:rsidRPr="00EB682E">
        <w:rPr>
          <w:rFonts w:asciiTheme="minorHAnsi" w:hAnsiTheme="minorHAnsi"/>
          <w:sz w:val="24"/>
          <w:szCs w:val="24"/>
        </w:rPr>
        <w:t>farmacêutico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qualificado e ins</w:t>
      </w:r>
      <w:r>
        <w:rPr>
          <w:rFonts w:asciiTheme="minorHAnsi" w:hAnsiTheme="minorHAnsi"/>
          <w:sz w:val="24"/>
          <w:szCs w:val="24"/>
        </w:rPr>
        <w:t>crito na sua ordem profissional –</w:t>
      </w:r>
      <w:r w:rsidRPr="00EB682E">
        <w:rPr>
          <w:rFonts w:asciiTheme="minorHAnsi" w:hAnsiTheme="minorHAnsi"/>
          <w:sz w:val="24"/>
          <w:szCs w:val="24"/>
        </w:rPr>
        <w:t xml:space="preserve"> mas que </w:t>
      </w:r>
      <w:proofErr w:type="spellStart"/>
      <w:r w:rsidRPr="00EB682E">
        <w:rPr>
          <w:rFonts w:asciiTheme="minorHAnsi" w:hAnsiTheme="minorHAnsi"/>
          <w:sz w:val="24"/>
          <w:szCs w:val="24"/>
        </w:rPr>
        <w:t>não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explora uma </w:t>
      </w:r>
      <w:proofErr w:type="spellStart"/>
      <w:r w:rsidRPr="00EB682E">
        <w:rPr>
          <w:rFonts w:asciiTheme="minorHAnsi" w:hAnsiTheme="minorHAnsi"/>
          <w:sz w:val="24"/>
          <w:szCs w:val="24"/>
        </w:rPr>
        <w:t>farmácia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integrada no «quadro </w:t>
      </w:r>
      <w:r>
        <w:rPr>
          <w:rFonts w:asciiTheme="minorHAnsi" w:hAnsiTheme="minorHAnsi"/>
          <w:sz w:val="24"/>
          <w:szCs w:val="24"/>
        </w:rPr>
        <w:t>geográfico</w:t>
      </w:r>
      <w:r w:rsidRPr="00EB682E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EB682E">
        <w:rPr>
          <w:rFonts w:asciiTheme="minorHAnsi" w:hAnsiTheme="minorHAnsi"/>
          <w:sz w:val="24"/>
          <w:szCs w:val="24"/>
        </w:rPr>
        <w:t xml:space="preserve">vender na </w:t>
      </w:r>
      <w:proofErr w:type="spellStart"/>
      <w:r w:rsidRPr="00655681">
        <w:rPr>
          <w:rFonts w:asciiTheme="minorHAnsi" w:hAnsiTheme="minorHAnsi"/>
          <w:i/>
          <w:sz w:val="24"/>
          <w:szCs w:val="24"/>
        </w:rPr>
        <w:t>parafarmácia</w:t>
      </w:r>
      <w:proofErr w:type="spellEnd"/>
      <w:r>
        <w:rPr>
          <w:rFonts w:asciiTheme="minorHAnsi" w:hAnsiTheme="minorHAnsi"/>
          <w:sz w:val="24"/>
          <w:szCs w:val="24"/>
        </w:rPr>
        <w:t xml:space="preserve"> de que é </w:t>
      </w:r>
      <w:proofErr w:type="spellStart"/>
      <w:r>
        <w:rPr>
          <w:rFonts w:asciiTheme="minorHAnsi" w:hAnsiTheme="minorHAnsi"/>
          <w:sz w:val="24"/>
          <w:szCs w:val="24"/>
        </w:rPr>
        <w:t>proprietário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os medicamentos sujeitos a receita </w:t>
      </w:r>
      <w:proofErr w:type="spellStart"/>
      <w:r w:rsidRPr="00EB682E">
        <w:rPr>
          <w:rFonts w:asciiTheme="minorHAnsi" w:hAnsiTheme="minorHAnsi"/>
          <w:sz w:val="24"/>
          <w:szCs w:val="24"/>
        </w:rPr>
        <w:t>médica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EB682E">
        <w:rPr>
          <w:rFonts w:asciiTheme="minorHAnsi" w:hAnsiTheme="minorHAnsi"/>
          <w:sz w:val="24"/>
          <w:szCs w:val="24"/>
        </w:rPr>
        <w:t>não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682E">
        <w:rPr>
          <w:rFonts w:asciiTheme="minorHAnsi" w:hAnsiTheme="minorHAnsi"/>
          <w:sz w:val="24"/>
          <w:szCs w:val="24"/>
        </w:rPr>
        <w:t>são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comparticipados pelo </w:t>
      </w:r>
      <w:proofErr w:type="spellStart"/>
      <w:r w:rsidRPr="00EB682E">
        <w:rPr>
          <w:rFonts w:asciiTheme="minorHAnsi" w:hAnsiTheme="minorHAnsi"/>
          <w:sz w:val="24"/>
          <w:szCs w:val="24"/>
        </w:rPr>
        <w:t>serviço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nacional de </w:t>
      </w:r>
      <w:proofErr w:type="spellStart"/>
      <w:r w:rsidRPr="00EB682E">
        <w:rPr>
          <w:rFonts w:asciiTheme="minorHAnsi" w:hAnsiTheme="minorHAnsi"/>
          <w:sz w:val="24"/>
          <w:szCs w:val="24"/>
        </w:rPr>
        <w:t>saúde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e que </w:t>
      </w:r>
      <w:proofErr w:type="spellStart"/>
      <w:r w:rsidRPr="00EB682E">
        <w:rPr>
          <w:rFonts w:asciiTheme="minorHAnsi" w:hAnsiTheme="minorHAnsi"/>
          <w:sz w:val="24"/>
          <w:szCs w:val="24"/>
        </w:rPr>
        <w:t>são</w:t>
      </w:r>
      <w:proofErr w:type="spellEnd"/>
      <w:r w:rsidRPr="00EB682E">
        <w:rPr>
          <w:rFonts w:asciiTheme="minorHAnsi" w:hAnsiTheme="minorHAnsi"/>
          <w:sz w:val="24"/>
          <w:szCs w:val="24"/>
        </w:rPr>
        <w:t xml:space="preserve"> pa</w:t>
      </w:r>
      <w:r>
        <w:rPr>
          <w:rFonts w:asciiTheme="minorHAnsi" w:hAnsiTheme="minorHAnsi"/>
          <w:sz w:val="24"/>
          <w:szCs w:val="24"/>
        </w:rPr>
        <w:t>gos integralmente pelo cliente?</w:t>
      </w:r>
    </w:p>
    <w:p w14:paraId="3D9060FB" w14:textId="77777777" w:rsidR="005A60C7" w:rsidRPr="00EB682E" w:rsidRDefault="005A60C7" w:rsidP="005A60C7">
      <w:pPr>
        <w:pStyle w:val="NormalWeb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É incompatível com a legislação nacional que sujeita a abertura de </w:t>
      </w:r>
      <w:r>
        <w:rPr>
          <w:rFonts w:asciiTheme="minorHAnsi" w:hAnsiTheme="minorHAnsi"/>
          <w:i/>
          <w:sz w:val="24"/>
          <w:szCs w:val="24"/>
        </w:rPr>
        <w:t xml:space="preserve">farmácias </w:t>
      </w:r>
      <w:r>
        <w:rPr>
          <w:rFonts w:asciiTheme="minorHAnsi" w:hAnsiTheme="minorHAnsi"/>
          <w:sz w:val="24"/>
          <w:szCs w:val="24"/>
        </w:rPr>
        <w:t xml:space="preserve">a uma autorização administrativa prévia num quadro de </w:t>
      </w:r>
      <w:r>
        <w:rPr>
          <w:rFonts w:asciiTheme="minorHAnsi" w:hAnsiTheme="minorHAnsi"/>
          <w:sz w:val="24"/>
          <w:szCs w:val="24"/>
        </w:rPr>
        <w:lastRenderedPageBreak/>
        <w:t>contingentação (i.e. imposição de limites ao n.º máximo de farmácias distribuídas pelas diferentes partes do território)?”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14:paraId="66E54F74" w14:textId="77777777" w:rsidR="005A60C7" w:rsidRPr="00F90F0D" w:rsidRDefault="005A60C7" w:rsidP="005A60C7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EB682E">
        <w:rPr>
          <w:rFonts w:asciiTheme="minorHAnsi" w:hAnsiTheme="minorHAnsi"/>
          <w:i/>
          <w:sz w:val="24"/>
          <w:szCs w:val="24"/>
        </w:rPr>
        <w:t>Aprecie a</w:t>
      </w:r>
      <w:r>
        <w:rPr>
          <w:rFonts w:asciiTheme="minorHAnsi" w:hAnsiTheme="minorHAnsi"/>
          <w:i/>
          <w:sz w:val="24"/>
          <w:szCs w:val="24"/>
        </w:rPr>
        <w:t>s</w:t>
      </w:r>
      <w:r w:rsidRPr="00EB682E">
        <w:rPr>
          <w:rFonts w:asciiTheme="minorHAnsi" w:hAnsiTheme="minorHAnsi"/>
          <w:i/>
          <w:sz w:val="24"/>
          <w:szCs w:val="24"/>
        </w:rPr>
        <w:t xml:space="preserve"> quest</w:t>
      </w:r>
      <w:r>
        <w:rPr>
          <w:rFonts w:asciiTheme="minorHAnsi" w:hAnsiTheme="minorHAnsi"/>
          <w:i/>
          <w:sz w:val="24"/>
          <w:szCs w:val="24"/>
        </w:rPr>
        <w:t>ões</w:t>
      </w:r>
      <w:r w:rsidRPr="00EB682E">
        <w:rPr>
          <w:rFonts w:asciiTheme="minorHAnsi" w:hAnsiTheme="minorHAnsi"/>
          <w:i/>
          <w:sz w:val="24"/>
          <w:szCs w:val="24"/>
        </w:rPr>
        <w:t xml:space="preserve"> que o tribunal nacional coloca ao Tribunal de Justiça, identificando a</w:t>
      </w:r>
      <w:r>
        <w:rPr>
          <w:rFonts w:asciiTheme="minorHAnsi" w:hAnsiTheme="minorHAnsi"/>
          <w:i/>
          <w:sz w:val="24"/>
          <w:szCs w:val="24"/>
        </w:rPr>
        <w:t>s</w:t>
      </w:r>
      <w:r w:rsidRPr="00EB682E">
        <w:rPr>
          <w:rFonts w:asciiTheme="minorHAnsi" w:hAnsiTheme="minorHAnsi"/>
          <w:i/>
          <w:sz w:val="24"/>
          <w:szCs w:val="24"/>
        </w:rPr>
        <w:t xml:space="preserve"> quest</w:t>
      </w:r>
      <w:r>
        <w:rPr>
          <w:rFonts w:asciiTheme="minorHAnsi" w:hAnsiTheme="minorHAnsi"/>
          <w:i/>
          <w:sz w:val="24"/>
          <w:szCs w:val="24"/>
        </w:rPr>
        <w:t>ões</w:t>
      </w:r>
      <w:r w:rsidRPr="00EB682E">
        <w:rPr>
          <w:rFonts w:asciiTheme="minorHAnsi" w:hAnsiTheme="minorHAnsi"/>
          <w:i/>
          <w:sz w:val="24"/>
          <w:szCs w:val="24"/>
        </w:rPr>
        <w:t xml:space="preserve"> subjacente</w:t>
      </w:r>
      <w:r>
        <w:rPr>
          <w:rFonts w:asciiTheme="minorHAnsi" w:hAnsiTheme="minorHAnsi"/>
          <w:i/>
          <w:sz w:val="24"/>
          <w:szCs w:val="24"/>
        </w:rPr>
        <w:t>s, ponderando os argumentos invocados ou invocáveis pelas partes, referindo as normas aplicáveis e aludindo, sempre que necessário ou conveniente, a jurisprudência do Tribunal de Justiça da União Europeia (Tribunal Geral e Tribunal de Justiça)</w:t>
      </w:r>
    </w:p>
    <w:p w14:paraId="0625FFEB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AD787A0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97AFA3D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Grupo B (5 valores)</w:t>
      </w:r>
    </w:p>
    <w:p w14:paraId="3DDECC67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75467E2" w14:textId="77777777" w:rsidR="005A60C7" w:rsidRPr="00F90F0D" w:rsidRDefault="005A60C7" w:rsidP="005A60C7">
      <w:pPr>
        <w:pStyle w:val="Default"/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Responda a </w:t>
      </w:r>
      <w:r w:rsidRPr="00F90F0D">
        <w:rPr>
          <w:rFonts w:asciiTheme="minorHAnsi" w:hAnsiTheme="minorHAnsi"/>
          <w:b/>
          <w:i/>
        </w:rPr>
        <w:t>uma</w:t>
      </w:r>
      <w:r>
        <w:rPr>
          <w:rFonts w:asciiTheme="minorHAnsi" w:hAnsiTheme="minorHAnsi"/>
          <w:i/>
        </w:rPr>
        <w:t xml:space="preserve"> das seguintes perguntas </w:t>
      </w:r>
    </w:p>
    <w:p w14:paraId="6C22021F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  <w:u w:val="single"/>
        </w:rPr>
      </w:pPr>
    </w:p>
    <w:p w14:paraId="6FB841DD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Questão 1 (5 valores)</w:t>
      </w:r>
    </w:p>
    <w:p w14:paraId="0AC3BCFD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certo sentido pode dizer-se que todas as Constituições portuguesas incluíram uma Constituição económica. Concorda com a afirmação? Justifique a sua resposta.</w:t>
      </w:r>
    </w:p>
    <w:p w14:paraId="1235F993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BB430B4" w14:textId="77777777" w:rsidR="005A60C7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Questão 2 (5 valores)</w:t>
      </w:r>
    </w:p>
    <w:p w14:paraId="0ABD3AFE" w14:textId="77777777" w:rsidR="005A60C7" w:rsidRPr="00FD477E" w:rsidRDefault="005A60C7" w:rsidP="005A60C7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 a relação entre </w:t>
      </w:r>
      <w:r>
        <w:rPr>
          <w:rFonts w:asciiTheme="minorHAnsi" w:hAnsiTheme="minorHAnsi"/>
          <w:i/>
        </w:rPr>
        <w:t xml:space="preserve">regulação económica 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i/>
        </w:rPr>
        <w:t>falhas de mercado</w:t>
      </w:r>
      <w:r>
        <w:rPr>
          <w:rFonts w:asciiTheme="minorHAnsi" w:hAnsiTheme="minorHAnsi"/>
        </w:rPr>
        <w:t>?</w:t>
      </w:r>
    </w:p>
    <w:p w14:paraId="62F007EE" w14:textId="23824DB6" w:rsidR="00FD477E" w:rsidRPr="005A60C7" w:rsidRDefault="00FD477E" w:rsidP="005A60C7"/>
    <w:sectPr w:rsidR="00FD477E" w:rsidRPr="005A60C7" w:rsidSect="007460FD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5AE1" w14:textId="77777777" w:rsidR="00FD477E" w:rsidRDefault="00FD477E">
      <w:r>
        <w:separator/>
      </w:r>
    </w:p>
  </w:endnote>
  <w:endnote w:type="continuationSeparator" w:id="0">
    <w:p w14:paraId="0F1EA983" w14:textId="77777777" w:rsidR="00FD477E" w:rsidRDefault="00FD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0190" w14:textId="77777777" w:rsidR="00FD477E" w:rsidRDefault="00FD477E" w:rsidP="00746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DB79F" w14:textId="77777777" w:rsidR="00FD477E" w:rsidRDefault="00FD477E" w:rsidP="00C74E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B696" w14:textId="77777777" w:rsidR="00836AB1" w:rsidRDefault="00836AB1" w:rsidP="00746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0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2C464" w14:textId="79F4EF27" w:rsidR="00FD477E" w:rsidRDefault="00FD477E" w:rsidP="007460F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6085DD7" w14:textId="600E4597" w:rsidR="00FD477E" w:rsidRDefault="00FD477E" w:rsidP="00C74ED9">
    <w:pPr>
      <w:pStyle w:val="Footer"/>
      <w:ind w:right="360"/>
      <w:jc w:val="right"/>
    </w:pPr>
  </w:p>
  <w:p w14:paraId="390CDDB3" w14:textId="1E0020C6" w:rsidR="00FD477E" w:rsidRDefault="00FD477E" w:rsidP="006F31C3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D6D3" w14:textId="77777777" w:rsidR="00FD477E" w:rsidRDefault="00FD477E">
      <w:r>
        <w:separator/>
      </w:r>
    </w:p>
  </w:footnote>
  <w:footnote w:type="continuationSeparator" w:id="0">
    <w:p w14:paraId="531C3DC9" w14:textId="77777777" w:rsidR="00FD477E" w:rsidRDefault="00FD4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DD5E7" w14:textId="5C3EA60C" w:rsidR="00FD477E" w:rsidRDefault="00FD477E" w:rsidP="006F31C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0B38013" wp14:editId="02AA59AB">
          <wp:extent cx="2095500" cy="939800"/>
          <wp:effectExtent l="0" t="0" r="12700" b="0"/>
          <wp:docPr id="1" name="Picture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27997"/>
    <w:multiLevelType w:val="hybridMultilevel"/>
    <w:tmpl w:val="6E622002"/>
    <w:lvl w:ilvl="0" w:tplc="1526A6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7F1"/>
    <w:multiLevelType w:val="hybridMultilevel"/>
    <w:tmpl w:val="291207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47213"/>
    <w:multiLevelType w:val="hybridMultilevel"/>
    <w:tmpl w:val="3D8EE852"/>
    <w:lvl w:ilvl="0" w:tplc="EDE287B8">
      <w:start w:val="1"/>
      <w:numFmt w:val="lowerLetter"/>
      <w:lvlText w:val="%1)"/>
      <w:lvlJc w:val="left"/>
      <w:pPr>
        <w:ind w:left="174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E12C9"/>
    <w:multiLevelType w:val="hybridMultilevel"/>
    <w:tmpl w:val="A05ED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1D4"/>
    <w:multiLevelType w:val="hybridMultilevel"/>
    <w:tmpl w:val="DDC201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3A17"/>
    <w:multiLevelType w:val="hybridMultilevel"/>
    <w:tmpl w:val="512443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222"/>
    <w:multiLevelType w:val="multilevel"/>
    <w:tmpl w:val="C69E29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5815D4E"/>
    <w:multiLevelType w:val="hybridMultilevel"/>
    <w:tmpl w:val="172C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D6333"/>
    <w:multiLevelType w:val="hybridMultilevel"/>
    <w:tmpl w:val="072ECD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7723"/>
    <w:multiLevelType w:val="hybridMultilevel"/>
    <w:tmpl w:val="B128F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41B"/>
    <w:multiLevelType w:val="hybridMultilevel"/>
    <w:tmpl w:val="1538792E"/>
    <w:lvl w:ilvl="0" w:tplc="7CA084E6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441E679D"/>
    <w:multiLevelType w:val="hybridMultilevel"/>
    <w:tmpl w:val="F6E2F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17E1B"/>
    <w:multiLevelType w:val="hybridMultilevel"/>
    <w:tmpl w:val="2B78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3A31"/>
    <w:multiLevelType w:val="hybridMultilevel"/>
    <w:tmpl w:val="5268D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029A2"/>
    <w:multiLevelType w:val="hybridMultilevel"/>
    <w:tmpl w:val="0B6EE22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0391"/>
    <w:multiLevelType w:val="hybridMultilevel"/>
    <w:tmpl w:val="F8EE4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73DF"/>
    <w:multiLevelType w:val="hybridMultilevel"/>
    <w:tmpl w:val="1E3C5508"/>
    <w:lvl w:ilvl="0" w:tplc="06C869F4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>
    <w:nsid w:val="59EC0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212550"/>
    <w:multiLevelType w:val="hybridMultilevel"/>
    <w:tmpl w:val="5E0EB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7CED"/>
    <w:multiLevelType w:val="hybridMultilevel"/>
    <w:tmpl w:val="1B60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74F11"/>
    <w:multiLevelType w:val="hybridMultilevel"/>
    <w:tmpl w:val="CF44D882"/>
    <w:lvl w:ilvl="0" w:tplc="E9724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0D0A"/>
    <w:multiLevelType w:val="hybridMultilevel"/>
    <w:tmpl w:val="D1ECD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57CF1"/>
    <w:multiLevelType w:val="hybridMultilevel"/>
    <w:tmpl w:val="FB92C672"/>
    <w:lvl w:ilvl="0" w:tplc="B798E8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D2B4A"/>
    <w:multiLevelType w:val="hybridMultilevel"/>
    <w:tmpl w:val="C7C69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82453"/>
    <w:multiLevelType w:val="hybridMultilevel"/>
    <w:tmpl w:val="A2BC9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27AA8"/>
    <w:multiLevelType w:val="hybridMultilevel"/>
    <w:tmpl w:val="AD869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C0D37"/>
    <w:multiLevelType w:val="multilevel"/>
    <w:tmpl w:val="3CA88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7"/>
  </w:num>
  <w:num w:numId="5">
    <w:abstractNumId w:val="18"/>
  </w:num>
  <w:num w:numId="6">
    <w:abstractNumId w:val="13"/>
  </w:num>
  <w:num w:numId="7">
    <w:abstractNumId w:val="27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5"/>
  </w:num>
  <w:num w:numId="15">
    <w:abstractNumId w:val="25"/>
  </w:num>
  <w:num w:numId="16">
    <w:abstractNumId w:val="9"/>
  </w:num>
  <w:num w:numId="17">
    <w:abstractNumId w:val="20"/>
  </w:num>
  <w:num w:numId="18">
    <w:abstractNumId w:val="14"/>
  </w:num>
  <w:num w:numId="19">
    <w:abstractNumId w:val="2"/>
  </w:num>
  <w:num w:numId="20">
    <w:abstractNumId w:val="3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4"/>
  </w:num>
  <w:num w:numId="26">
    <w:abstractNumId w:val="11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3"/>
    <w:rsid w:val="0000587A"/>
    <w:rsid w:val="00010DB5"/>
    <w:rsid w:val="00022A9E"/>
    <w:rsid w:val="000242FB"/>
    <w:rsid w:val="00036787"/>
    <w:rsid w:val="0005468F"/>
    <w:rsid w:val="00073F02"/>
    <w:rsid w:val="0009773D"/>
    <w:rsid w:val="000B0025"/>
    <w:rsid w:val="000D30AE"/>
    <w:rsid w:val="000F0CA2"/>
    <w:rsid w:val="00111D6B"/>
    <w:rsid w:val="00114680"/>
    <w:rsid w:val="00126AB6"/>
    <w:rsid w:val="00160D80"/>
    <w:rsid w:val="00177BBC"/>
    <w:rsid w:val="001804BF"/>
    <w:rsid w:val="001C08A3"/>
    <w:rsid w:val="001C2BD2"/>
    <w:rsid w:val="001C724A"/>
    <w:rsid w:val="001D30CD"/>
    <w:rsid w:val="001E46D7"/>
    <w:rsid w:val="00216399"/>
    <w:rsid w:val="00242D8D"/>
    <w:rsid w:val="00251530"/>
    <w:rsid w:val="00272D88"/>
    <w:rsid w:val="00283EC9"/>
    <w:rsid w:val="00290B7A"/>
    <w:rsid w:val="002B44F1"/>
    <w:rsid w:val="002C2F60"/>
    <w:rsid w:val="002C45DD"/>
    <w:rsid w:val="002E2D51"/>
    <w:rsid w:val="002E3260"/>
    <w:rsid w:val="003056F0"/>
    <w:rsid w:val="003203B1"/>
    <w:rsid w:val="00332C9C"/>
    <w:rsid w:val="00345441"/>
    <w:rsid w:val="00354D4C"/>
    <w:rsid w:val="00363025"/>
    <w:rsid w:val="00366B34"/>
    <w:rsid w:val="003A101D"/>
    <w:rsid w:val="003A1656"/>
    <w:rsid w:val="003C2640"/>
    <w:rsid w:val="003C6756"/>
    <w:rsid w:val="003D6BEE"/>
    <w:rsid w:val="003E32C2"/>
    <w:rsid w:val="003F4F51"/>
    <w:rsid w:val="003F59D6"/>
    <w:rsid w:val="00402FAC"/>
    <w:rsid w:val="00422FEC"/>
    <w:rsid w:val="00425D90"/>
    <w:rsid w:val="00426A60"/>
    <w:rsid w:val="00453626"/>
    <w:rsid w:val="0045525A"/>
    <w:rsid w:val="00477746"/>
    <w:rsid w:val="00482AD7"/>
    <w:rsid w:val="00490C98"/>
    <w:rsid w:val="004A1F60"/>
    <w:rsid w:val="004B6148"/>
    <w:rsid w:val="004D5764"/>
    <w:rsid w:val="004E72BC"/>
    <w:rsid w:val="00505F6B"/>
    <w:rsid w:val="005070CA"/>
    <w:rsid w:val="00523E19"/>
    <w:rsid w:val="00542939"/>
    <w:rsid w:val="00584A78"/>
    <w:rsid w:val="005A06AB"/>
    <w:rsid w:val="005A2197"/>
    <w:rsid w:val="005A3A9D"/>
    <w:rsid w:val="005A60C7"/>
    <w:rsid w:val="005B1B1B"/>
    <w:rsid w:val="005C64D6"/>
    <w:rsid w:val="00604EEE"/>
    <w:rsid w:val="0061783F"/>
    <w:rsid w:val="00622C83"/>
    <w:rsid w:val="00624959"/>
    <w:rsid w:val="00630A5A"/>
    <w:rsid w:val="00631EB2"/>
    <w:rsid w:val="00632045"/>
    <w:rsid w:val="006360FB"/>
    <w:rsid w:val="00653894"/>
    <w:rsid w:val="00655746"/>
    <w:rsid w:val="0068105C"/>
    <w:rsid w:val="00681152"/>
    <w:rsid w:val="00690848"/>
    <w:rsid w:val="006A16AA"/>
    <w:rsid w:val="006A756E"/>
    <w:rsid w:val="006E2C85"/>
    <w:rsid w:val="006E69F2"/>
    <w:rsid w:val="006F31C3"/>
    <w:rsid w:val="00700DB8"/>
    <w:rsid w:val="00717729"/>
    <w:rsid w:val="00724B91"/>
    <w:rsid w:val="007415A5"/>
    <w:rsid w:val="007460FD"/>
    <w:rsid w:val="00752382"/>
    <w:rsid w:val="00755F87"/>
    <w:rsid w:val="007D3ED0"/>
    <w:rsid w:val="007D68AB"/>
    <w:rsid w:val="007D7A0A"/>
    <w:rsid w:val="007E5ED3"/>
    <w:rsid w:val="007E6506"/>
    <w:rsid w:val="00824608"/>
    <w:rsid w:val="00836AB1"/>
    <w:rsid w:val="008444E9"/>
    <w:rsid w:val="00872045"/>
    <w:rsid w:val="00880BDF"/>
    <w:rsid w:val="00883A05"/>
    <w:rsid w:val="0088759A"/>
    <w:rsid w:val="00892828"/>
    <w:rsid w:val="008941DA"/>
    <w:rsid w:val="008A6DD9"/>
    <w:rsid w:val="008D031B"/>
    <w:rsid w:val="008E19C7"/>
    <w:rsid w:val="008E30D6"/>
    <w:rsid w:val="008F34A0"/>
    <w:rsid w:val="008F5317"/>
    <w:rsid w:val="00905415"/>
    <w:rsid w:val="00923447"/>
    <w:rsid w:val="00946A68"/>
    <w:rsid w:val="00974D26"/>
    <w:rsid w:val="009A3371"/>
    <w:rsid w:val="009E3105"/>
    <w:rsid w:val="009F31AD"/>
    <w:rsid w:val="00A04DB4"/>
    <w:rsid w:val="00A423BD"/>
    <w:rsid w:val="00A77CA4"/>
    <w:rsid w:val="00A81A93"/>
    <w:rsid w:val="00AB2D39"/>
    <w:rsid w:val="00B53042"/>
    <w:rsid w:val="00B55DA3"/>
    <w:rsid w:val="00B62991"/>
    <w:rsid w:val="00B75B00"/>
    <w:rsid w:val="00BA48E6"/>
    <w:rsid w:val="00BA7D28"/>
    <w:rsid w:val="00BC6625"/>
    <w:rsid w:val="00BD0836"/>
    <w:rsid w:val="00BD7234"/>
    <w:rsid w:val="00BD7E03"/>
    <w:rsid w:val="00BE0185"/>
    <w:rsid w:val="00BE076F"/>
    <w:rsid w:val="00BE6D03"/>
    <w:rsid w:val="00BF74D4"/>
    <w:rsid w:val="00C120B8"/>
    <w:rsid w:val="00C168D2"/>
    <w:rsid w:val="00C17F2D"/>
    <w:rsid w:val="00C25344"/>
    <w:rsid w:val="00C31CCE"/>
    <w:rsid w:val="00C54145"/>
    <w:rsid w:val="00C6457A"/>
    <w:rsid w:val="00C74ED9"/>
    <w:rsid w:val="00C75CE3"/>
    <w:rsid w:val="00C764E4"/>
    <w:rsid w:val="00C97DE7"/>
    <w:rsid w:val="00CA22F3"/>
    <w:rsid w:val="00CF2295"/>
    <w:rsid w:val="00CF3BE8"/>
    <w:rsid w:val="00D03005"/>
    <w:rsid w:val="00DA13C9"/>
    <w:rsid w:val="00DA18ED"/>
    <w:rsid w:val="00DC0CDB"/>
    <w:rsid w:val="00DC70A3"/>
    <w:rsid w:val="00DD2A3C"/>
    <w:rsid w:val="00DD44C7"/>
    <w:rsid w:val="00DE0C54"/>
    <w:rsid w:val="00DE2596"/>
    <w:rsid w:val="00DF51CF"/>
    <w:rsid w:val="00DF6EE5"/>
    <w:rsid w:val="00E31820"/>
    <w:rsid w:val="00E379C9"/>
    <w:rsid w:val="00E42FF6"/>
    <w:rsid w:val="00E77688"/>
    <w:rsid w:val="00E80ACE"/>
    <w:rsid w:val="00E9594C"/>
    <w:rsid w:val="00ED58EB"/>
    <w:rsid w:val="00ED73F2"/>
    <w:rsid w:val="00F03277"/>
    <w:rsid w:val="00F2248D"/>
    <w:rsid w:val="00F32D1A"/>
    <w:rsid w:val="00F3409A"/>
    <w:rsid w:val="00F71CB2"/>
    <w:rsid w:val="00F7738C"/>
    <w:rsid w:val="00F77C3F"/>
    <w:rsid w:val="00F85DEE"/>
    <w:rsid w:val="00FB442C"/>
    <w:rsid w:val="00FB7F64"/>
    <w:rsid w:val="00FC12AF"/>
    <w:rsid w:val="00FD477E"/>
    <w:rsid w:val="00FE406F"/>
    <w:rsid w:val="00FF14C1"/>
    <w:rsid w:val="00FF22A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D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F31C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FootnoteText">
    <w:name w:val="footnote text"/>
    <w:basedOn w:val="Normal"/>
    <w:link w:val="FootnoteTextChar"/>
    <w:rsid w:val="00883A05"/>
  </w:style>
  <w:style w:type="character" w:customStyle="1" w:styleId="FootnoteTextChar">
    <w:name w:val="Footnote Text Char"/>
    <w:basedOn w:val="DefaultParagraphFont"/>
    <w:link w:val="FootnoteText"/>
    <w:rsid w:val="00883A05"/>
    <w:rPr>
      <w:sz w:val="24"/>
      <w:szCs w:val="24"/>
      <w:lang w:eastAsia="pt-PT"/>
    </w:rPr>
  </w:style>
  <w:style w:type="character" w:styleId="FootnoteReference">
    <w:name w:val="footnote reference"/>
    <w:basedOn w:val="DefaultParagraphFont"/>
    <w:rsid w:val="00883A05"/>
    <w:rPr>
      <w:vertAlign w:val="superscript"/>
    </w:rPr>
  </w:style>
  <w:style w:type="paragraph" w:styleId="BodyText">
    <w:name w:val="Body Text"/>
    <w:basedOn w:val="Normal"/>
    <w:link w:val="BodyTextCha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22A9E"/>
    <w:rPr>
      <w:sz w:val="24"/>
      <w:szCs w:val="24"/>
      <w:lang w:eastAsia="pt-PT"/>
    </w:rPr>
  </w:style>
  <w:style w:type="character" w:styleId="PageNumber">
    <w:name w:val="page number"/>
    <w:basedOn w:val="DefaultParagraphFont"/>
    <w:semiHidden/>
    <w:unhideWhenUsed/>
    <w:rsid w:val="00C74ED9"/>
  </w:style>
  <w:style w:type="paragraph" w:styleId="Subtitle">
    <w:name w:val="Subtitle"/>
    <w:basedOn w:val="Normal"/>
    <w:next w:val="Normal"/>
    <w:link w:val="SubtitleChar"/>
    <w:uiPriority w:val="11"/>
    <w:qFormat/>
    <w:rsid w:val="00F7738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77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01pointnumerotealtn">
    <w:name w:val="c01pointnumerotealtn"/>
    <w:basedOn w:val="Normal"/>
    <w:rsid w:val="00A04DB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04DB4"/>
  </w:style>
  <w:style w:type="paragraph" w:customStyle="1" w:styleId="c09marge0avecretrait">
    <w:name w:val="c09marge0avecretrait"/>
    <w:basedOn w:val="Normal"/>
    <w:rsid w:val="00BE076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5A60C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F31C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FootnoteText">
    <w:name w:val="footnote text"/>
    <w:basedOn w:val="Normal"/>
    <w:link w:val="FootnoteTextChar"/>
    <w:rsid w:val="00883A05"/>
  </w:style>
  <w:style w:type="character" w:customStyle="1" w:styleId="FootnoteTextChar">
    <w:name w:val="Footnote Text Char"/>
    <w:basedOn w:val="DefaultParagraphFont"/>
    <w:link w:val="FootnoteText"/>
    <w:rsid w:val="00883A05"/>
    <w:rPr>
      <w:sz w:val="24"/>
      <w:szCs w:val="24"/>
      <w:lang w:eastAsia="pt-PT"/>
    </w:rPr>
  </w:style>
  <w:style w:type="character" w:styleId="FootnoteReference">
    <w:name w:val="footnote reference"/>
    <w:basedOn w:val="DefaultParagraphFont"/>
    <w:rsid w:val="00883A05"/>
    <w:rPr>
      <w:vertAlign w:val="superscript"/>
    </w:rPr>
  </w:style>
  <w:style w:type="paragraph" w:styleId="BodyText">
    <w:name w:val="Body Text"/>
    <w:basedOn w:val="Normal"/>
    <w:link w:val="BodyTextCha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22A9E"/>
    <w:rPr>
      <w:sz w:val="24"/>
      <w:szCs w:val="24"/>
      <w:lang w:eastAsia="pt-PT"/>
    </w:rPr>
  </w:style>
  <w:style w:type="character" w:styleId="PageNumber">
    <w:name w:val="page number"/>
    <w:basedOn w:val="DefaultParagraphFont"/>
    <w:semiHidden/>
    <w:unhideWhenUsed/>
    <w:rsid w:val="00C74ED9"/>
  </w:style>
  <w:style w:type="paragraph" w:styleId="Subtitle">
    <w:name w:val="Subtitle"/>
    <w:basedOn w:val="Normal"/>
    <w:next w:val="Normal"/>
    <w:link w:val="SubtitleChar"/>
    <w:uiPriority w:val="11"/>
    <w:qFormat/>
    <w:rsid w:val="00F7738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77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01pointnumerotealtn">
    <w:name w:val="c01pointnumerotealtn"/>
    <w:basedOn w:val="Normal"/>
    <w:rsid w:val="00A04DB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04DB4"/>
  </w:style>
  <w:style w:type="paragraph" w:customStyle="1" w:styleId="c09marge0avecretrait">
    <w:name w:val="c09marge0avecretrait"/>
    <w:basedOn w:val="Normal"/>
    <w:rsid w:val="00BE076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5A60C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434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51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645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216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431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DDBC-54D7-F547-9904-004CDB7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FDUNL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Manso</dc:creator>
  <cp:lastModifiedBy>Lúcio Féteira</cp:lastModifiedBy>
  <cp:revision>2</cp:revision>
  <cp:lastPrinted>2006-10-03T09:13:00Z</cp:lastPrinted>
  <dcterms:created xsi:type="dcterms:W3CDTF">2018-01-07T16:39:00Z</dcterms:created>
  <dcterms:modified xsi:type="dcterms:W3CDTF">2018-01-07T16:39:00Z</dcterms:modified>
</cp:coreProperties>
</file>