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F409" w14:textId="77777777" w:rsidR="00C25344" w:rsidRPr="00AF749F" w:rsidRDefault="00C25344" w:rsidP="00290B7A">
      <w:pPr>
        <w:spacing w:line="276" w:lineRule="auto"/>
        <w:jc w:val="both"/>
        <w:rPr>
          <w:rFonts w:ascii="Cambria" w:hAnsi="Cambria"/>
        </w:rPr>
      </w:pPr>
    </w:p>
    <w:p w14:paraId="2721ED07" w14:textId="3F518B84" w:rsidR="00883A05" w:rsidRPr="00AF749F" w:rsidRDefault="00505F6B" w:rsidP="00290B7A">
      <w:pPr>
        <w:spacing w:line="276" w:lineRule="auto"/>
        <w:jc w:val="center"/>
        <w:rPr>
          <w:rFonts w:ascii="Cambria" w:hAnsi="Cambria"/>
          <w:b/>
        </w:rPr>
      </w:pPr>
      <w:r w:rsidRPr="00AF749F">
        <w:rPr>
          <w:rFonts w:ascii="Cambria" w:hAnsi="Cambria"/>
          <w:b/>
        </w:rPr>
        <w:t>Direito</w:t>
      </w:r>
      <w:r w:rsidR="007E5ED3" w:rsidRPr="00AF749F">
        <w:rPr>
          <w:rFonts w:ascii="Cambria" w:hAnsi="Cambria"/>
          <w:b/>
        </w:rPr>
        <w:t xml:space="preserve"> da Economia</w:t>
      </w:r>
      <w:r w:rsidR="003F4F51" w:rsidRPr="00AF749F">
        <w:rPr>
          <w:rFonts w:ascii="Cambria" w:hAnsi="Cambria"/>
          <w:b/>
        </w:rPr>
        <w:t xml:space="preserve"> (LM</w:t>
      </w:r>
      <w:r w:rsidR="00BC6625" w:rsidRPr="00AF749F">
        <w:rPr>
          <w:rFonts w:ascii="Cambria" w:hAnsi="Cambria"/>
          <w:b/>
        </w:rPr>
        <w:t>10</w:t>
      </w:r>
      <w:r w:rsidR="003F4F51" w:rsidRPr="00AF749F">
        <w:rPr>
          <w:rFonts w:ascii="Cambria" w:hAnsi="Cambria"/>
          <w:b/>
        </w:rPr>
        <w:t>5</w:t>
      </w:r>
      <w:r w:rsidR="00BC6625" w:rsidRPr="00AF749F">
        <w:rPr>
          <w:rFonts w:ascii="Cambria" w:hAnsi="Cambria"/>
          <w:b/>
        </w:rPr>
        <w:t>)</w:t>
      </w:r>
    </w:p>
    <w:p w14:paraId="15022B07" w14:textId="2A9F7873" w:rsidR="00BC6625" w:rsidRPr="00AF749F" w:rsidRDefault="00BC6625" w:rsidP="00290B7A">
      <w:pPr>
        <w:spacing w:line="276" w:lineRule="auto"/>
        <w:jc w:val="center"/>
        <w:rPr>
          <w:rFonts w:ascii="Cambria" w:hAnsi="Cambria"/>
          <w:b/>
        </w:rPr>
      </w:pPr>
      <w:r w:rsidRPr="00AF749F">
        <w:rPr>
          <w:rFonts w:ascii="Cambria" w:hAnsi="Cambria"/>
          <w:b/>
        </w:rPr>
        <w:t>Ano académico 201</w:t>
      </w:r>
      <w:r w:rsidR="00AF749F">
        <w:rPr>
          <w:rFonts w:ascii="Cambria" w:hAnsi="Cambria"/>
          <w:b/>
        </w:rPr>
        <w:t>5</w:t>
      </w:r>
      <w:r w:rsidRPr="00AF749F">
        <w:rPr>
          <w:rFonts w:ascii="Cambria" w:hAnsi="Cambria"/>
          <w:b/>
        </w:rPr>
        <w:t>/201</w:t>
      </w:r>
      <w:r w:rsidR="00AF749F">
        <w:rPr>
          <w:rFonts w:ascii="Cambria" w:hAnsi="Cambria"/>
          <w:b/>
        </w:rPr>
        <w:t>6</w:t>
      </w:r>
      <w:r w:rsidRPr="00AF749F">
        <w:rPr>
          <w:rFonts w:ascii="Cambria" w:hAnsi="Cambria"/>
          <w:b/>
        </w:rPr>
        <w:t xml:space="preserve"> – </w:t>
      </w:r>
      <w:r w:rsidR="00AF749F">
        <w:rPr>
          <w:rFonts w:ascii="Cambria" w:hAnsi="Cambria"/>
          <w:b/>
        </w:rPr>
        <w:t>Época de recurso</w:t>
      </w:r>
    </w:p>
    <w:p w14:paraId="003BE1AB" w14:textId="18C6D151" w:rsidR="00BC6625" w:rsidRDefault="00AF749F" w:rsidP="00290B7A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13.I.2016 – 13h-15h</w:t>
      </w:r>
    </w:p>
    <w:p w14:paraId="12D30328" w14:textId="442CC5EF" w:rsidR="00B64E1B" w:rsidRPr="00AF749F" w:rsidRDefault="00B64E1B" w:rsidP="00290B7A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Exame final</w:t>
      </w:r>
      <w:bookmarkStart w:id="0" w:name="_GoBack"/>
      <w:bookmarkEnd w:id="0"/>
    </w:p>
    <w:p w14:paraId="64548123" w14:textId="77777777" w:rsidR="00883A05" w:rsidRPr="00AF749F" w:rsidRDefault="00883A05" w:rsidP="00BC6625">
      <w:pPr>
        <w:spacing w:line="276" w:lineRule="auto"/>
        <w:rPr>
          <w:rFonts w:ascii="Cambria" w:hAnsi="Cambria"/>
        </w:rPr>
      </w:pPr>
    </w:p>
    <w:p w14:paraId="7D86B530" w14:textId="6214CE08" w:rsidR="00BC6625" w:rsidRPr="00AF749F" w:rsidRDefault="00BC6625" w:rsidP="00BC6625">
      <w:pPr>
        <w:spacing w:line="276" w:lineRule="auto"/>
        <w:rPr>
          <w:rFonts w:ascii="Cambria" w:hAnsi="Cambria"/>
          <w:b/>
          <w:u w:val="single"/>
        </w:rPr>
      </w:pPr>
      <w:r w:rsidRPr="00AF749F">
        <w:rPr>
          <w:rFonts w:ascii="Cambria" w:hAnsi="Cambria"/>
          <w:b/>
          <w:u w:val="single"/>
        </w:rPr>
        <w:t>Instruções:</w:t>
      </w:r>
    </w:p>
    <w:p w14:paraId="1B318023" w14:textId="01EF61A0" w:rsidR="00BC6625" w:rsidRPr="00AF749F" w:rsidRDefault="00AF749F" w:rsidP="00BC6625">
      <w:pPr>
        <w:pStyle w:val="PargrafodaLista"/>
        <w:numPr>
          <w:ilvl w:val="0"/>
          <w:numId w:val="12"/>
        </w:numPr>
        <w:spacing w:line="276" w:lineRule="auto"/>
        <w:jc w:val="both"/>
      </w:pPr>
      <w:r>
        <w:t>O exame tem a duração total de 12</w:t>
      </w:r>
      <w:r w:rsidR="00BC6625" w:rsidRPr="00AF749F">
        <w:t>0 (</w:t>
      </w:r>
      <w:r>
        <w:t>cento e vinte</w:t>
      </w:r>
      <w:r w:rsidR="00BC6625" w:rsidRPr="00AF749F">
        <w:t xml:space="preserve">) minutos </w:t>
      </w:r>
      <w:r w:rsidR="00BC6625" w:rsidRPr="00AF749F">
        <w:rPr>
          <w:i/>
        </w:rPr>
        <w:t>improrrogáveis</w:t>
      </w:r>
      <w:r w:rsidR="00BC6625" w:rsidRPr="00AF749F">
        <w:t xml:space="preserve"> </w:t>
      </w:r>
    </w:p>
    <w:p w14:paraId="51AD9092" w14:textId="2C2464CE" w:rsidR="00BC6625" w:rsidRDefault="00BC6625" w:rsidP="00BC6625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AF749F">
        <w:t>O exame é composto por duas partes (A e B)</w:t>
      </w:r>
      <w:r w:rsidR="009A3371" w:rsidRPr="00AF749F">
        <w:t>, às quais corresponde a pontuação total de 20 (vinte) valores.</w:t>
      </w:r>
    </w:p>
    <w:p w14:paraId="1D25A44D" w14:textId="69CFD9F1" w:rsidR="00AF749F" w:rsidRPr="00AF749F" w:rsidRDefault="00AF749F" w:rsidP="00BC6625">
      <w:pPr>
        <w:pStyle w:val="PargrafodaLista"/>
        <w:numPr>
          <w:ilvl w:val="0"/>
          <w:numId w:val="12"/>
        </w:numPr>
        <w:spacing w:line="276" w:lineRule="auto"/>
        <w:jc w:val="both"/>
      </w:pPr>
      <w:r>
        <w:t xml:space="preserve">As respostas devem ser redigidas em caligrafia </w:t>
      </w:r>
      <w:r>
        <w:rPr>
          <w:i/>
        </w:rPr>
        <w:t xml:space="preserve">legível </w:t>
      </w:r>
      <w:r w:rsidR="00B64E1B">
        <w:t>não devendo ultrapassar 6</w:t>
      </w:r>
      <w:r>
        <w:t xml:space="preserve"> (</w:t>
      </w:r>
      <w:r w:rsidR="00B64E1B">
        <w:t>seis</w:t>
      </w:r>
      <w:r>
        <w:t xml:space="preserve">) páginas, ou seja, </w:t>
      </w:r>
      <w:r w:rsidR="00B64E1B">
        <w:t>folha e meia de</w:t>
      </w:r>
      <w:r>
        <w:t xml:space="preserve"> exame.</w:t>
      </w:r>
    </w:p>
    <w:p w14:paraId="0A1C0BF3" w14:textId="77777777" w:rsidR="00AF749F" w:rsidRDefault="00BC6625" w:rsidP="00BC6625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AF749F">
        <w:t xml:space="preserve">Na parte </w:t>
      </w:r>
      <w:r w:rsidR="00DF6EE5" w:rsidRPr="00AF749F">
        <w:rPr>
          <w:b/>
        </w:rPr>
        <w:t>A</w:t>
      </w:r>
      <w:r w:rsidRPr="00AF749F">
        <w:t xml:space="preserve"> apenas </w:t>
      </w:r>
      <w:r w:rsidR="00073F02" w:rsidRPr="00AF749F">
        <w:rPr>
          <w:b/>
          <w:i/>
        </w:rPr>
        <w:t>duas</w:t>
      </w:r>
      <w:r w:rsidRPr="00AF749F">
        <w:t xml:space="preserve"> das questões deve</w:t>
      </w:r>
      <w:r w:rsidR="00073F02" w:rsidRPr="00AF749F">
        <w:t>m</w:t>
      </w:r>
      <w:r w:rsidRPr="00AF749F">
        <w:t xml:space="preserve"> ser respondida</w:t>
      </w:r>
      <w:r w:rsidR="00022A9E" w:rsidRPr="00AF749F">
        <w:t>s</w:t>
      </w:r>
      <w:r w:rsidR="00AF749F">
        <w:t>.</w:t>
      </w:r>
    </w:p>
    <w:p w14:paraId="772B40E6" w14:textId="11C8375B" w:rsidR="003F4F51" w:rsidRPr="00AF749F" w:rsidRDefault="003F4F51" w:rsidP="00BC6625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AF749F">
        <w:t xml:space="preserve">Na parte </w:t>
      </w:r>
      <w:r w:rsidRPr="00AF749F">
        <w:rPr>
          <w:b/>
        </w:rPr>
        <w:t>B</w:t>
      </w:r>
      <w:r w:rsidRPr="00AF749F">
        <w:t xml:space="preserve"> devem ser respondidas </w:t>
      </w:r>
      <w:r w:rsidRPr="00AF749F">
        <w:rPr>
          <w:b/>
          <w:i/>
        </w:rPr>
        <w:t>ambas</w:t>
      </w:r>
      <w:r w:rsidRPr="00AF749F">
        <w:t xml:space="preserve"> as questões</w:t>
      </w:r>
      <w:r w:rsidR="00AF749F">
        <w:t>.</w:t>
      </w:r>
    </w:p>
    <w:p w14:paraId="2A135CA0" w14:textId="05BE415D" w:rsidR="00BC6625" w:rsidRPr="00AF749F" w:rsidRDefault="00BC6625" w:rsidP="00BC6625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AF749F">
        <w:t>No decurso do exame está autorizada a consulta de</w:t>
      </w:r>
      <w:r w:rsidR="00AF749F">
        <w:t xml:space="preserve"> legislação (simples e anotada),</w:t>
      </w:r>
      <w:r w:rsidRPr="00AF749F">
        <w:t xml:space="preserve"> apontamentos, fotocópias e livros </w:t>
      </w:r>
      <w:r w:rsidRPr="00AF749F">
        <w:rPr>
          <w:u w:val="single"/>
        </w:rPr>
        <w:t>do próprio</w:t>
      </w:r>
      <w:r w:rsidRPr="00AF749F">
        <w:t xml:space="preserve">. </w:t>
      </w:r>
    </w:p>
    <w:p w14:paraId="2284E645" w14:textId="3B407EAF" w:rsidR="00BC6625" w:rsidRPr="00AF749F" w:rsidRDefault="00BC6625" w:rsidP="00BC6625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AF749F">
        <w:t xml:space="preserve">A utilização de </w:t>
      </w:r>
      <w:proofErr w:type="spellStart"/>
      <w:r w:rsidRPr="00AF749F">
        <w:rPr>
          <w:i/>
        </w:rPr>
        <w:t>tablets</w:t>
      </w:r>
      <w:proofErr w:type="spellEnd"/>
      <w:r w:rsidRPr="00AF749F">
        <w:t xml:space="preserve">, </w:t>
      </w:r>
      <w:proofErr w:type="spellStart"/>
      <w:r w:rsidRPr="00AF749F">
        <w:rPr>
          <w:i/>
        </w:rPr>
        <w:t>smartphones</w:t>
      </w:r>
      <w:proofErr w:type="spellEnd"/>
      <w:r w:rsidRPr="00AF749F">
        <w:t xml:space="preserve">, </w:t>
      </w:r>
      <w:r w:rsidRPr="00AF749F">
        <w:rPr>
          <w:i/>
        </w:rPr>
        <w:t>laptops</w:t>
      </w:r>
      <w:r w:rsidRPr="00AF749F">
        <w:t xml:space="preserve"> ou qualquer outro equipamento eletrónico que permita o acesso à internet não é permitida durante toda a duração do exame.</w:t>
      </w:r>
    </w:p>
    <w:p w14:paraId="49EDD60F" w14:textId="0D98256A" w:rsidR="008D031B" w:rsidRPr="00AF749F" w:rsidRDefault="008D031B" w:rsidP="00BC6625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AF749F">
        <w:t>No final do exame, os enunciados devem ser devolvidos juntamente com as folhas de respostas.</w:t>
      </w:r>
    </w:p>
    <w:p w14:paraId="6487DF16" w14:textId="77777777" w:rsidR="009A3371" w:rsidRPr="00AF749F" w:rsidRDefault="009A3371" w:rsidP="009A3371">
      <w:pPr>
        <w:spacing w:line="276" w:lineRule="auto"/>
        <w:jc w:val="both"/>
        <w:rPr>
          <w:rFonts w:ascii="Cambria" w:hAnsi="Cambria"/>
        </w:rPr>
      </w:pPr>
    </w:p>
    <w:p w14:paraId="73E3DCAD" w14:textId="77777777" w:rsidR="009A3371" w:rsidRPr="00AF749F" w:rsidRDefault="009A3371" w:rsidP="009A3371">
      <w:pPr>
        <w:spacing w:line="276" w:lineRule="auto"/>
        <w:jc w:val="both"/>
        <w:rPr>
          <w:rFonts w:ascii="Cambria" w:hAnsi="Cambria"/>
        </w:rPr>
      </w:pPr>
    </w:p>
    <w:p w14:paraId="0795BD68" w14:textId="168FE945" w:rsidR="009A3371" w:rsidRPr="00AF749F" w:rsidRDefault="009A3371" w:rsidP="009A3371">
      <w:pPr>
        <w:spacing w:line="276" w:lineRule="auto"/>
        <w:jc w:val="both"/>
        <w:rPr>
          <w:rFonts w:ascii="Cambria" w:hAnsi="Cambria"/>
        </w:rPr>
      </w:pPr>
      <w:r w:rsidRPr="00AF749F">
        <w:rPr>
          <w:rFonts w:ascii="Cambria" w:hAnsi="Cambria"/>
        </w:rPr>
        <w:t>Boa sorte!</w:t>
      </w:r>
    </w:p>
    <w:p w14:paraId="7BD629F6" w14:textId="760FB715" w:rsidR="009A3371" w:rsidRPr="00AF749F" w:rsidRDefault="009A3371" w:rsidP="00073F02">
      <w:pPr>
        <w:jc w:val="both"/>
        <w:rPr>
          <w:rFonts w:ascii="Cambria" w:hAnsi="Cambria"/>
        </w:rPr>
      </w:pPr>
      <w:r w:rsidRPr="00AF749F">
        <w:rPr>
          <w:rFonts w:ascii="Cambria" w:hAnsi="Cambria"/>
        </w:rPr>
        <w:br w:type="page"/>
      </w:r>
    </w:p>
    <w:p w14:paraId="53EF894E" w14:textId="44CC97D1" w:rsidR="00BC6625" w:rsidRPr="00AF749F" w:rsidRDefault="009A3371" w:rsidP="00DF6EE5">
      <w:pPr>
        <w:spacing w:line="276" w:lineRule="auto"/>
        <w:jc w:val="both"/>
        <w:rPr>
          <w:rFonts w:ascii="Cambria" w:hAnsi="Cambria"/>
        </w:rPr>
      </w:pPr>
      <w:r w:rsidRPr="00AF749F">
        <w:rPr>
          <w:rFonts w:ascii="Cambria" w:hAnsi="Cambria"/>
          <w:b/>
          <w:u w:val="single"/>
        </w:rPr>
        <w:lastRenderedPageBreak/>
        <w:t>Parte A</w:t>
      </w:r>
      <w:r w:rsidR="008D031B" w:rsidRPr="00AF749F">
        <w:rPr>
          <w:rFonts w:ascii="Cambria" w:hAnsi="Cambria"/>
          <w:b/>
          <w:u w:val="single"/>
        </w:rPr>
        <w:t xml:space="preserve"> (</w:t>
      </w:r>
      <w:r w:rsidR="00226101" w:rsidRPr="00AF749F">
        <w:rPr>
          <w:rFonts w:ascii="Cambria" w:hAnsi="Cambria"/>
          <w:b/>
          <w:u w:val="single"/>
        </w:rPr>
        <w:t>10</w:t>
      </w:r>
      <w:r w:rsidR="00604EEE" w:rsidRPr="00AF749F">
        <w:rPr>
          <w:rFonts w:ascii="Cambria" w:hAnsi="Cambria"/>
          <w:b/>
          <w:u w:val="single"/>
        </w:rPr>
        <w:t xml:space="preserve"> </w:t>
      </w:r>
      <w:r w:rsidR="008D031B" w:rsidRPr="00AF749F">
        <w:rPr>
          <w:rFonts w:ascii="Cambria" w:hAnsi="Cambria"/>
          <w:b/>
          <w:u w:val="single"/>
        </w:rPr>
        <w:t>valores)</w:t>
      </w:r>
    </w:p>
    <w:p w14:paraId="3A5AB3A8" w14:textId="48C3990A" w:rsidR="008D031B" w:rsidRPr="00B64E1B" w:rsidRDefault="00B64E1B" w:rsidP="00DF6EE5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Responda a </w:t>
      </w:r>
      <w:r>
        <w:rPr>
          <w:rFonts w:ascii="Cambria" w:hAnsi="Cambria"/>
          <w:b/>
          <w:i/>
          <w:color w:val="auto"/>
        </w:rPr>
        <w:t xml:space="preserve">duas </w:t>
      </w:r>
      <w:r>
        <w:rPr>
          <w:rFonts w:ascii="Cambria" w:hAnsi="Cambria"/>
          <w:color w:val="auto"/>
        </w:rPr>
        <w:t>das questões seguintes:</w:t>
      </w:r>
    </w:p>
    <w:p w14:paraId="6DC5CC5E" w14:textId="77777777" w:rsidR="00DF6EE5" w:rsidRPr="00AF749F" w:rsidRDefault="00DF6EE5" w:rsidP="00DF6EE5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14:paraId="257DBA78" w14:textId="744D5270" w:rsidR="003C2640" w:rsidRPr="00AF749F" w:rsidRDefault="007E5ED3" w:rsidP="00DF6EE5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  <w:r w:rsidRPr="00AF749F">
        <w:rPr>
          <w:rFonts w:ascii="Cambria" w:hAnsi="Cambria"/>
          <w:color w:val="auto"/>
        </w:rPr>
        <w:t xml:space="preserve">1) </w:t>
      </w:r>
      <w:r w:rsidR="003C2640" w:rsidRPr="00AF749F">
        <w:rPr>
          <w:rFonts w:ascii="Cambria" w:hAnsi="Cambria"/>
          <w:color w:val="auto"/>
        </w:rPr>
        <w:t>Caraterize sucintamente</w:t>
      </w:r>
      <w:r w:rsidR="003F7877">
        <w:rPr>
          <w:rFonts w:ascii="Cambria" w:hAnsi="Cambria"/>
          <w:color w:val="auto"/>
        </w:rPr>
        <w:t xml:space="preserve"> e distinga</w:t>
      </w:r>
      <w:r w:rsidR="003C2640" w:rsidRPr="00AF749F">
        <w:rPr>
          <w:rFonts w:ascii="Cambria" w:hAnsi="Cambria"/>
          <w:color w:val="auto"/>
        </w:rPr>
        <w:t xml:space="preserve"> </w:t>
      </w:r>
      <w:r w:rsidRPr="00AF749F">
        <w:rPr>
          <w:rFonts w:ascii="Cambria" w:hAnsi="Cambria"/>
          <w:color w:val="auto"/>
        </w:rPr>
        <w:t xml:space="preserve">propriedade privada (artigo 62.º da CRP), liberdade </w:t>
      </w:r>
      <w:r w:rsidR="003C2640" w:rsidRPr="00AF749F">
        <w:rPr>
          <w:rFonts w:ascii="Cambria" w:hAnsi="Cambria"/>
          <w:color w:val="auto"/>
        </w:rPr>
        <w:t>de iniciativa privada (artigo 61.º da CRP) e livre concorrência (artigo 81.º, n.º 1, alínea f) da CRP) e aprecie a evolução do respetivo enquadramento constitucional à luz das transformações sofridas pela Constituição económica portuguesa.</w:t>
      </w:r>
    </w:p>
    <w:p w14:paraId="0C129763" w14:textId="77777777" w:rsidR="003C2640" w:rsidRPr="00AF749F" w:rsidRDefault="003C2640" w:rsidP="00DF6EE5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</w:p>
    <w:p w14:paraId="12E85C5C" w14:textId="77777777" w:rsidR="00DF6EE5" w:rsidRPr="00AF749F" w:rsidRDefault="00DF6EE5" w:rsidP="00DF6EE5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</w:p>
    <w:p w14:paraId="19B83076" w14:textId="77777777" w:rsidR="003C2640" w:rsidRPr="00AF749F" w:rsidRDefault="003C2640" w:rsidP="00DF6EE5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  <w:r w:rsidRPr="00AF749F">
        <w:rPr>
          <w:rFonts w:ascii="Cambria" w:hAnsi="Cambria"/>
          <w:color w:val="auto"/>
        </w:rPr>
        <w:t>2) Comente a relação entre as regras de concorrência e as liberdades de circulação no contexto da Constituição económica europeia.</w:t>
      </w:r>
    </w:p>
    <w:p w14:paraId="7566E402" w14:textId="77777777" w:rsidR="003C2640" w:rsidRPr="00AF749F" w:rsidRDefault="003C2640" w:rsidP="00DF6EE5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</w:p>
    <w:p w14:paraId="6E7F87AA" w14:textId="77777777" w:rsidR="000209EE" w:rsidRPr="00AF749F" w:rsidRDefault="000209EE" w:rsidP="00DF6EE5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</w:p>
    <w:p w14:paraId="0E6C5EDA" w14:textId="2497BAE7" w:rsidR="000209EE" w:rsidRDefault="000209EE" w:rsidP="000209EE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  <w:r w:rsidRPr="00AF749F">
        <w:rPr>
          <w:rFonts w:ascii="Cambria" w:hAnsi="Cambria"/>
          <w:color w:val="auto"/>
        </w:rPr>
        <w:t xml:space="preserve">3) Tendo presente a noção de </w:t>
      </w:r>
      <w:r w:rsidRPr="00AF749F">
        <w:rPr>
          <w:rFonts w:ascii="Cambria" w:hAnsi="Cambria"/>
          <w:i/>
          <w:color w:val="auto"/>
        </w:rPr>
        <w:t>golden shares</w:t>
      </w:r>
      <w:r w:rsidRPr="00AF749F">
        <w:rPr>
          <w:rFonts w:ascii="Cambria" w:hAnsi="Cambria"/>
          <w:color w:val="auto"/>
        </w:rPr>
        <w:t xml:space="preserve">, explique </w:t>
      </w:r>
      <w:r w:rsidR="00AF749F" w:rsidRPr="00AF749F">
        <w:rPr>
          <w:rFonts w:ascii="Cambria" w:hAnsi="Cambria"/>
          <w:color w:val="auto"/>
        </w:rPr>
        <w:t>em que circunstâncias pode</w:t>
      </w:r>
      <w:r w:rsidRPr="00AF749F">
        <w:rPr>
          <w:rFonts w:ascii="Cambria" w:hAnsi="Cambria"/>
          <w:color w:val="auto"/>
        </w:rPr>
        <w:t xml:space="preserve"> a consagração das mesmas na legislação dos Estados-Membros pode afetar o direito de estabelecimento e/ou a liberdade de circulação de capitais (artigos 63.º a 66.º do TFUE). </w:t>
      </w:r>
    </w:p>
    <w:p w14:paraId="13C18A83" w14:textId="77777777" w:rsidR="00AF749F" w:rsidRDefault="00AF749F" w:rsidP="000209EE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</w:p>
    <w:p w14:paraId="283E7CA2" w14:textId="77777777" w:rsidR="00AF749F" w:rsidRDefault="00AF749F" w:rsidP="000209EE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</w:p>
    <w:p w14:paraId="02EB756C" w14:textId="1819EAAB" w:rsidR="00AF749F" w:rsidRPr="00AF749F" w:rsidRDefault="00AF749F" w:rsidP="000209EE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4) Interprete o teor do artigo 345.º do TFUE (cujo teor se transcreve</w:t>
      </w:r>
      <w:r w:rsidR="003F7877">
        <w:rPr>
          <w:rFonts w:ascii="Cambria" w:hAnsi="Cambria"/>
          <w:color w:val="auto"/>
        </w:rPr>
        <w:t xml:space="preserve"> infra</w:t>
      </w:r>
      <w:r>
        <w:rPr>
          <w:rFonts w:ascii="Cambria" w:hAnsi="Cambria"/>
          <w:color w:val="auto"/>
        </w:rPr>
        <w:t>), referindo as suas implicações no que respeita à</w:t>
      </w:r>
      <w:r w:rsidR="003F7877">
        <w:rPr>
          <w:rFonts w:ascii="Cambria" w:hAnsi="Cambria"/>
          <w:color w:val="auto"/>
        </w:rPr>
        <w:t xml:space="preserve"> possibilidade de os Estados-membros intervirem </w:t>
      </w:r>
      <w:r>
        <w:rPr>
          <w:rFonts w:ascii="Cambria" w:hAnsi="Cambria"/>
          <w:color w:val="auto"/>
        </w:rPr>
        <w:t>na economia.</w:t>
      </w:r>
    </w:p>
    <w:p w14:paraId="0040097A" w14:textId="77777777" w:rsidR="00AF749F" w:rsidRPr="00970E9F" w:rsidRDefault="00AF749F" w:rsidP="00AF749F">
      <w:pPr>
        <w:pStyle w:val="parentitem"/>
        <w:tabs>
          <w:tab w:val="center" w:pos="4252"/>
          <w:tab w:val="left" w:pos="5310"/>
        </w:tabs>
        <w:spacing w:line="276" w:lineRule="auto"/>
        <w:jc w:val="left"/>
        <w:rPr>
          <w:rFonts w:ascii="Open Sans" w:hAnsi="Open Sans"/>
        </w:rPr>
      </w:pPr>
      <w:r>
        <w:rPr>
          <w:rFonts w:ascii="Open Sans" w:hAnsi="Open Sans"/>
        </w:rPr>
        <w:tab/>
      </w:r>
      <w:r w:rsidRPr="00970E9F">
        <w:rPr>
          <w:rFonts w:ascii="Open Sans" w:hAnsi="Open Sans"/>
        </w:rPr>
        <w:t>Artigo 345.º</w:t>
      </w:r>
      <w:r>
        <w:rPr>
          <w:rFonts w:ascii="Open Sans" w:hAnsi="Open Sans"/>
        </w:rPr>
        <w:tab/>
      </w:r>
    </w:p>
    <w:p w14:paraId="33B850C2" w14:textId="77777777" w:rsidR="00AF749F" w:rsidRPr="00C16DCE" w:rsidRDefault="00AF749F" w:rsidP="00AF749F">
      <w:pPr>
        <w:pStyle w:val="textoitem"/>
        <w:spacing w:line="276" w:lineRule="auto"/>
        <w:jc w:val="both"/>
        <w:rPr>
          <w:rFonts w:ascii="Open Sans" w:hAnsi="Open Sans"/>
          <w:color w:val="363636"/>
        </w:rPr>
      </w:pPr>
      <w:r w:rsidRPr="00970E9F">
        <w:rPr>
          <w:rFonts w:ascii="Open Sans" w:hAnsi="Open Sans"/>
        </w:rPr>
        <w:t>Os Tratados em nada prejudicam o regime da propriedade nos Estados-Membros</w:t>
      </w:r>
      <w:r>
        <w:rPr>
          <w:rFonts w:ascii="Open Sans" w:hAnsi="Open Sans"/>
          <w:color w:val="363636"/>
        </w:rPr>
        <w:t>.</w:t>
      </w:r>
    </w:p>
    <w:p w14:paraId="772BFE40" w14:textId="77777777" w:rsidR="00DF6EE5" w:rsidRPr="00AF749F" w:rsidRDefault="00DF6EE5" w:rsidP="00DF6EE5">
      <w:pPr>
        <w:pStyle w:val="Default"/>
        <w:spacing w:after="9" w:line="276" w:lineRule="auto"/>
        <w:jc w:val="both"/>
        <w:rPr>
          <w:rFonts w:ascii="Cambria" w:hAnsi="Cambria"/>
          <w:color w:val="auto"/>
        </w:rPr>
      </w:pPr>
    </w:p>
    <w:p w14:paraId="323025A9" w14:textId="29F4AF2B" w:rsidR="009A3371" w:rsidRPr="00AF749F" w:rsidRDefault="009A3371">
      <w:pPr>
        <w:rPr>
          <w:rFonts w:ascii="Cambria" w:hAnsi="Cambria"/>
        </w:rPr>
      </w:pPr>
      <w:r w:rsidRPr="00AF749F">
        <w:rPr>
          <w:rFonts w:ascii="Cambria" w:hAnsi="Cambria"/>
        </w:rPr>
        <w:br w:type="page"/>
      </w:r>
    </w:p>
    <w:p w14:paraId="2AF0D9D1" w14:textId="3F84D818" w:rsidR="00425D90" w:rsidRPr="00AF749F" w:rsidRDefault="009A3371" w:rsidP="009A3371">
      <w:pPr>
        <w:spacing w:line="276" w:lineRule="auto"/>
        <w:jc w:val="both"/>
        <w:rPr>
          <w:rFonts w:ascii="Cambria" w:hAnsi="Cambria"/>
        </w:rPr>
      </w:pPr>
      <w:r w:rsidRPr="00AF749F">
        <w:rPr>
          <w:rFonts w:ascii="Cambria" w:hAnsi="Cambria"/>
          <w:b/>
          <w:u w:val="single"/>
        </w:rPr>
        <w:lastRenderedPageBreak/>
        <w:t>Parte B</w:t>
      </w:r>
      <w:r w:rsidR="008D031B" w:rsidRPr="00AF749F">
        <w:rPr>
          <w:rFonts w:ascii="Cambria" w:hAnsi="Cambria"/>
          <w:b/>
          <w:u w:val="single"/>
        </w:rPr>
        <w:t xml:space="preserve"> (</w:t>
      </w:r>
      <w:r w:rsidR="006A16AA" w:rsidRPr="00AF749F">
        <w:rPr>
          <w:rFonts w:ascii="Cambria" w:hAnsi="Cambria"/>
          <w:b/>
          <w:u w:val="single"/>
        </w:rPr>
        <w:t>1</w:t>
      </w:r>
      <w:r w:rsidR="00226101" w:rsidRPr="00AF749F">
        <w:rPr>
          <w:rFonts w:ascii="Cambria" w:hAnsi="Cambria"/>
          <w:b/>
          <w:u w:val="single"/>
        </w:rPr>
        <w:t>0</w:t>
      </w:r>
      <w:r w:rsidR="00604EEE" w:rsidRPr="00AF749F">
        <w:rPr>
          <w:rFonts w:ascii="Cambria" w:hAnsi="Cambria"/>
          <w:b/>
          <w:u w:val="single"/>
        </w:rPr>
        <w:t xml:space="preserve"> </w:t>
      </w:r>
      <w:r w:rsidR="008D031B" w:rsidRPr="00AF749F">
        <w:rPr>
          <w:rFonts w:ascii="Cambria" w:hAnsi="Cambria"/>
          <w:b/>
          <w:u w:val="single"/>
        </w:rPr>
        <w:t>valores)</w:t>
      </w:r>
    </w:p>
    <w:p w14:paraId="71745768" w14:textId="77777777" w:rsidR="009A3371" w:rsidRPr="00AF749F" w:rsidRDefault="009A3371" w:rsidP="009A3371">
      <w:pPr>
        <w:spacing w:line="276" w:lineRule="auto"/>
        <w:jc w:val="both"/>
        <w:rPr>
          <w:rFonts w:ascii="Cambria" w:hAnsi="Cambria"/>
        </w:rPr>
      </w:pPr>
    </w:p>
    <w:p w14:paraId="448109BF" w14:textId="28314BE7" w:rsidR="005626A9" w:rsidRPr="00AF749F" w:rsidRDefault="005626A9" w:rsidP="005626A9">
      <w:pPr>
        <w:pStyle w:val="c01pointnumerotealtn"/>
        <w:ind w:left="28" w:firstLine="0"/>
        <w:rPr>
          <w:rFonts w:ascii="Cambria" w:hAnsi="Cambria"/>
        </w:rPr>
      </w:pPr>
      <w:r w:rsidRPr="00AF749F">
        <w:rPr>
          <w:rFonts w:ascii="Cambria" w:hAnsi="Cambria"/>
        </w:rPr>
        <w:t>Na República da Áustria, a matéria dos jogos de fortuna ou azar é regulada pelo Decreto-Lei n.</w:t>
      </w:r>
      <w:r w:rsidR="003F7877">
        <w:rPr>
          <w:rFonts w:ascii="Cambria" w:hAnsi="Cambria"/>
        </w:rPr>
        <w:t>º 48.457 de 6 de fevereiro de 200</w:t>
      </w:r>
      <w:r w:rsidRPr="00AF749F">
        <w:rPr>
          <w:rFonts w:ascii="Cambria" w:hAnsi="Cambria"/>
        </w:rPr>
        <w:t xml:space="preserve">2 sobre a organização dos jogos de fortuna ou azar (a seguir «decreto-lei dos jogos de fortuna ou azar»). </w:t>
      </w:r>
      <w:r w:rsidRPr="00AF749F">
        <w:rPr>
          <w:rFonts w:ascii="Cambria" w:hAnsi="Cambria"/>
          <w:u w:val="single"/>
        </w:rPr>
        <w:t>Na sua versão original</w:t>
      </w:r>
      <w:r w:rsidRPr="00AF749F">
        <w:rPr>
          <w:rFonts w:ascii="Cambria" w:hAnsi="Cambria"/>
        </w:rPr>
        <w:t xml:space="preserve">, o artigo 26.º/3 do decreto-lei dos jogos de fortuna ou azar autorizava a exploração de </w:t>
      </w:r>
      <w:proofErr w:type="spellStart"/>
      <w:proofErr w:type="gramStart"/>
      <w:r w:rsidRPr="00AF749F">
        <w:rPr>
          <w:rFonts w:ascii="Cambria" w:hAnsi="Cambria"/>
          <w:i/>
          <w:iCs/>
        </w:rPr>
        <w:t>slot</w:t>
      </w:r>
      <w:proofErr w:type="spellEnd"/>
      <w:proofErr w:type="gramEnd"/>
      <w:r w:rsidRPr="00AF749F">
        <w:rPr>
          <w:rFonts w:ascii="Cambria" w:hAnsi="Cambria"/>
          <w:i/>
          <w:iCs/>
        </w:rPr>
        <w:t xml:space="preserve"> </w:t>
      </w:r>
      <w:proofErr w:type="spellStart"/>
      <w:r w:rsidRPr="00AF749F">
        <w:rPr>
          <w:rFonts w:ascii="Cambria" w:hAnsi="Cambria"/>
          <w:i/>
          <w:iCs/>
        </w:rPr>
        <w:t>machines</w:t>
      </w:r>
      <w:proofErr w:type="spellEnd"/>
      <w:r w:rsidRPr="00AF749F">
        <w:rPr>
          <w:rFonts w:ascii="Cambria" w:hAnsi="Cambria"/>
        </w:rPr>
        <w:t xml:space="preserve"> quer em casinos, quer em salas de jogos criadas exclusivamente para esse fim</w:t>
      </w:r>
      <w:r w:rsidR="003F7877">
        <w:rPr>
          <w:rFonts w:ascii="Cambria" w:hAnsi="Cambria"/>
        </w:rPr>
        <w:t>,</w:t>
      </w:r>
      <w:r w:rsidRPr="00AF749F">
        <w:rPr>
          <w:rFonts w:ascii="Cambria" w:hAnsi="Cambria"/>
        </w:rPr>
        <w:t xml:space="preserve"> incluindo</w:t>
      </w:r>
      <w:r w:rsidR="003F7877">
        <w:rPr>
          <w:rFonts w:ascii="Cambria" w:hAnsi="Cambria"/>
        </w:rPr>
        <w:t xml:space="preserve"> nesta última categoria as</w:t>
      </w:r>
      <w:r w:rsidRPr="00AF749F">
        <w:rPr>
          <w:rFonts w:ascii="Cambria" w:hAnsi="Cambria"/>
        </w:rPr>
        <w:t xml:space="preserve"> plataformas virtuais designadas por «casinos eletrónicos». Segundo o artigo 33.° </w:t>
      </w:r>
      <w:proofErr w:type="gramStart"/>
      <w:r w:rsidRPr="00AF749F">
        <w:rPr>
          <w:rFonts w:ascii="Cambria" w:hAnsi="Cambria"/>
        </w:rPr>
        <w:t>deste</w:t>
      </w:r>
      <w:proofErr w:type="gramEnd"/>
      <w:r w:rsidRPr="00AF749F">
        <w:rPr>
          <w:rFonts w:ascii="Cambria" w:hAnsi="Cambria"/>
        </w:rPr>
        <w:t xml:space="preserve"> decreto-lei, </w:t>
      </w:r>
      <w:r w:rsidRPr="00AF749F">
        <w:rPr>
          <w:rFonts w:ascii="Cambria" w:hAnsi="Cambria"/>
          <w:u w:val="single"/>
        </w:rPr>
        <w:t>na</w:t>
      </w:r>
      <w:r w:rsidR="00A20A07" w:rsidRPr="00AF749F">
        <w:rPr>
          <w:rFonts w:ascii="Cambria" w:hAnsi="Cambria"/>
          <w:u w:val="single"/>
        </w:rPr>
        <w:t xml:space="preserve"> sua</w:t>
      </w:r>
      <w:r w:rsidRPr="00AF749F">
        <w:rPr>
          <w:rFonts w:ascii="Cambria" w:hAnsi="Cambria"/>
          <w:u w:val="single"/>
        </w:rPr>
        <w:t xml:space="preserve"> redação </w:t>
      </w:r>
      <w:r w:rsidR="00A20A07" w:rsidRPr="00AF749F">
        <w:rPr>
          <w:rFonts w:ascii="Cambria" w:hAnsi="Cambria"/>
          <w:u w:val="single"/>
        </w:rPr>
        <w:t>original</w:t>
      </w:r>
      <w:r w:rsidRPr="00AF749F">
        <w:rPr>
          <w:rFonts w:ascii="Cambria" w:hAnsi="Cambria"/>
        </w:rPr>
        <w:t xml:space="preserve">, o imposto de montante fixo que incidia </w:t>
      </w:r>
      <w:r w:rsidR="003F7877">
        <w:rPr>
          <w:rFonts w:ascii="Cambria" w:hAnsi="Cambria"/>
        </w:rPr>
        <w:t xml:space="preserve">sobre </w:t>
      </w:r>
      <w:r w:rsidRPr="00AF749F">
        <w:rPr>
          <w:rFonts w:ascii="Cambria" w:hAnsi="Cambria"/>
        </w:rPr>
        <w:t xml:space="preserve">a exploração de </w:t>
      </w:r>
      <w:proofErr w:type="spellStart"/>
      <w:r w:rsidRPr="00AF749F">
        <w:rPr>
          <w:rFonts w:ascii="Cambria" w:hAnsi="Cambria"/>
          <w:i/>
          <w:iCs/>
        </w:rPr>
        <w:t>slot</w:t>
      </w:r>
      <w:proofErr w:type="spellEnd"/>
      <w:r w:rsidRPr="00AF749F">
        <w:rPr>
          <w:rFonts w:ascii="Cambria" w:hAnsi="Cambria"/>
          <w:i/>
          <w:iCs/>
        </w:rPr>
        <w:t xml:space="preserve"> </w:t>
      </w:r>
      <w:proofErr w:type="spellStart"/>
      <w:r w:rsidRPr="00AF749F">
        <w:rPr>
          <w:rFonts w:ascii="Cambria" w:hAnsi="Cambria"/>
          <w:i/>
          <w:iCs/>
        </w:rPr>
        <w:t>machines</w:t>
      </w:r>
      <w:proofErr w:type="spellEnd"/>
      <w:r w:rsidRPr="00AF749F">
        <w:rPr>
          <w:rFonts w:ascii="Cambria" w:hAnsi="Cambria"/>
        </w:rPr>
        <w:t xml:space="preserve"> ascendia, por posição de jogo</w:t>
      </w:r>
      <w:r w:rsidR="003F7877">
        <w:rPr>
          <w:rStyle w:val="Refdenotaderodap"/>
          <w:rFonts w:ascii="Cambria" w:hAnsi="Cambria"/>
        </w:rPr>
        <w:footnoteReference w:id="1"/>
      </w:r>
      <w:r w:rsidR="003F7877">
        <w:rPr>
          <w:rFonts w:ascii="Cambria" w:hAnsi="Cambria"/>
        </w:rPr>
        <w:t xml:space="preserve"> </w:t>
      </w:r>
      <w:r w:rsidRPr="00AF749F">
        <w:rPr>
          <w:rFonts w:ascii="Cambria" w:hAnsi="Cambria"/>
        </w:rPr>
        <w:t xml:space="preserve">e por mês, a 10.000 EUR para as </w:t>
      </w:r>
      <w:proofErr w:type="spellStart"/>
      <w:r w:rsidRPr="00AF749F">
        <w:rPr>
          <w:rFonts w:ascii="Cambria" w:hAnsi="Cambria"/>
          <w:i/>
          <w:iCs/>
        </w:rPr>
        <w:t>slot</w:t>
      </w:r>
      <w:proofErr w:type="spellEnd"/>
      <w:r w:rsidRPr="00AF749F">
        <w:rPr>
          <w:rFonts w:ascii="Cambria" w:hAnsi="Cambria"/>
          <w:i/>
          <w:iCs/>
        </w:rPr>
        <w:t xml:space="preserve"> </w:t>
      </w:r>
      <w:proofErr w:type="spellStart"/>
      <w:r w:rsidRPr="00AF749F">
        <w:rPr>
          <w:rFonts w:ascii="Cambria" w:hAnsi="Cambria"/>
          <w:i/>
          <w:iCs/>
        </w:rPr>
        <w:t>machines</w:t>
      </w:r>
      <w:proofErr w:type="spellEnd"/>
      <w:r w:rsidRPr="00AF749F">
        <w:rPr>
          <w:rFonts w:ascii="Cambria" w:hAnsi="Cambria"/>
        </w:rPr>
        <w:t xml:space="preserve"> instaladas em salas de jogos</w:t>
      </w:r>
      <w:r w:rsidR="00014066" w:rsidRPr="00AF749F">
        <w:rPr>
          <w:rFonts w:ascii="Cambria" w:hAnsi="Cambria"/>
        </w:rPr>
        <w:t xml:space="preserve"> (casinos e demais salas de jogos com exceção dos «casinos eletrónicos»)</w:t>
      </w:r>
      <w:r w:rsidRPr="00AF749F">
        <w:rPr>
          <w:rFonts w:ascii="Cambria" w:hAnsi="Cambria"/>
        </w:rPr>
        <w:t>. Em derrogação desta norma,</w:t>
      </w:r>
      <w:r w:rsidR="003F7877">
        <w:rPr>
          <w:rFonts w:ascii="Cambria" w:hAnsi="Cambria"/>
        </w:rPr>
        <w:t xml:space="preserve"> o artigo 34.º do mesmo diploma previa que</w:t>
      </w:r>
      <w:r w:rsidRPr="00AF749F">
        <w:rPr>
          <w:rFonts w:ascii="Cambria" w:hAnsi="Cambria"/>
        </w:rPr>
        <w:t xml:space="preserve"> </w:t>
      </w:r>
      <w:proofErr w:type="gramStart"/>
      <w:r w:rsidRPr="00AF749F">
        <w:rPr>
          <w:rFonts w:ascii="Cambria" w:hAnsi="Cambria"/>
        </w:rPr>
        <w:t xml:space="preserve">as </w:t>
      </w:r>
      <w:proofErr w:type="spellStart"/>
      <w:r w:rsidRPr="00AF749F">
        <w:rPr>
          <w:rFonts w:ascii="Cambria" w:hAnsi="Cambria"/>
          <w:i/>
          <w:iCs/>
        </w:rPr>
        <w:t>slot</w:t>
      </w:r>
      <w:proofErr w:type="spellEnd"/>
      <w:proofErr w:type="gramEnd"/>
      <w:r w:rsidRPr="00AF749F">
        <w:rPr>
          <w:rFonts w:ascii="Cambria" w:hAnsi="Cambria"/>
          <w:i/>
          <w:iCs/>
        </w:rPr>
        <w:t xml:space="preserve"> </w:t>
      </w:r>
      <w:proofErr w:type="spellStart"/>
      <w:r w:rsidRPr="00AF749F">
        <w:rPr>
          <w:rFonts w:ascii="Cambria" w:hAnsi="Cambria"/>
          <w:i/>
          <w:iCs/>
        </w:rPr>
        <w:t>machines</w:t>
      </w:r>
      <w:proofErr w:type="spellEnd"/>
      <w:r w:rsidRPr="00AF749F">
        <w:rPr>
          <w:rFonts w:ascii="Cambria" w:hAnsi="Cambria"/>
          <w:i/>
          <w:iCs/>
        </w:rPr>
        <w:t xml:space="preserve"> </w:t>
      </w:r>
      <w:r w:rsidRPr="00AF749F">
        <w:rPr>
          <w:rFonts w:ascii="Cambria" w:hAnsi="Cambria"/>
        </w:rPr>
        <w:t>instaladas em «casinos eletrónicos» estavam sujeitas a um imposto que ascendia a</w:t>
      </w:r>
      <w:r w:rsidR="003F7877">
        <w:rPr>
          <w:rFonts w:ascii="Cambria" w:hAnsi="Cambria"/>
        </w:rPr>
        <w:t>os</w:t>
      </w:r>
      <w:r w:rsidRPr="00AF749F">
        <w:rPr>
          <w:rFonts w:ascii="Cambria" w:hAnsi="Cambria"/>
        </w:rPr>
        <w:t xml:space="preserve"> 12.000 EUR</w:t>
      </w:r>
      <w:r w:rsidR="003F7877">
        <w:rPr>
          <w:rFonts w:ascii="Cambria" w:hAnsi="Cambria"/>
        </w:rPr>
        <w:t xml:space="preserve"> por posição de jogo e por mês</w:t>
      </w:r>
      <w:r w:rsidRPr="00AF749F">
        <w:rPr>
          <w:rFonts w:ascii="Cambria" w:hAnsi="Cambria"/>
        </w:rPr>
        <w:t xml:space="preserve">. </w:t>
      </w:r>
    </w:p>
    <w:p w14:paraId="28DAEC5C" w14:textId="7E65B4E5" w:rsidR="004919B6" w:rsidRPr="00AF749F" w:rsidRDefault="004919B6" w:rsidP="005626A9">
      <w:pPr>
        <w:pStyle w:val="c01pointnumerotealtn"/>
        <w:ind w:left="28" w:firstLine="0"/>
        <w:rPr>
          <w:rFonts w:ascii="Cambria" w:hAnsi="Cambria"/>
        </w:rPr>
      </w:pPr>
      <w:r w:rsidRPr="00AF749F">
        <w:rPr>
          <w:rFonts w:ascii="Cambria" w:hAnsi="Cambria"/>
        </w:rPr>
        <w:t xml:space="preserve">Alegando razões orçamentais e a necessidade de aumentar a receita fiscal, o Governo austríaco </w:t>
      </w:r>
      <w:r w:rsidR="00EB6615" w:rsidRPr="00AF749F">
        <w:rPr>
          <w:rFonts w:ascii="Cambria" w:hAnsi="Cambria"/>
        </w:rPr>
        <w:t xml:space="preserve">introduziu </w:t>
      </w:r>
      <w:r w:rsidR="003F7877">
        <w:rPr>
          <w:rFonts w:ascii="Cambria" w:hAnsi="Cambria"/>
          <w:u w:val="single"/>
        </w:rPr>
        <w:t>uma primeira alteração a</w:t>
      </w:r>
      <w:r w:rsidR="00EB6615" w:rsidRPr="00AF749F">
        <w:rPr>
          <w:rFonts w:ascii="Cambria" w:hAnsi="Cambria"/>
          <w:u w:val="single"/>
        </w:rPr>
        <w:t>o diploma</w:t>
      </w:r>
      <w:r w:rsidR="003F7877">
        <w:rPr>
          <w:rFonts w:ascii="Cambria" w:hAnsi="Cambria"/>
          <w:u w:val="single"/>
        </w:rPr>
        <w:t xml:space="preserve"> em 2012</w:t>
      </w:r>
      <w:r w:rsidR="00EB6615" w:rsidRPr="00AF749F">
        <w:rPr>
          <w:rFonts w:ascii="Cambria" w:hAnsi="Cambria"/>
        </w:rPr>
        <w:t>, modificando a redação d</w:t>
      </w:r>
      <w:r w:rsidRPr="00AF749F">
        <w:rPr>
          <w:rFonts w:ascii="Cambria" w:hAnsi="Cambria"/>
        </w:rPr>
        <w:t>o</w:t>
      </w:r>
      <w:r w:rsidR="005626A9" w:rsidRPr="00AF749F">
        <w:rPr>
          <w:rFonts w:ascii="Cambria" w:hAnsi="Cambria"/>
        </w:rPr>
        <w:t xml:space="preserve"> artigo 33.° </w:t>
      </w:r>
      <w:proofErr w:type="gramStart"/>
      <w:r w:rsidR="005626A9" w:rsidRPr="00AF749F">
        <w:rPr>
          <w:rFonts w:ascii="Cambria" w:hAnsi="Cambria"/>
        </w:rPr>
        <w:t>d</w:t>
      </w:r>
      <w:r w:rsidRPr="00AF749F">
        <w:rPr>
          <w:rFonts w:ascii="Cambria" w:hAnsi="Cambria"/>
        </w:rPr>
        <w:t>o</w:t>
      </w:r>
      <w:proofErr w:type="gramEnd"/>
      <w:r w:rsidRPr="00AF749F">
        <w:rPr>
          <w:rFonts w:ascii="Cambria" w:hAnsi="Cambria"/>
        </w:rPr>
        <w:t xml:space="preserve"> decreto-lei dos jogos de fortuna ou azar</w:t>
      </w:r>
      <w:r w:rsidR="00EB6615" w:rsidRPr="00AF749F">
        <w:rPr>
          <w:rFonts w:ascii="Cambria" w:hAnsi="Cambria"/>
        </w:rPr>
        <w:t>. De acordo com a nova redação, o Fisco austríaco</w:t>
      </w:r>
      <w:r w:rsidRPr="00AF749F">
        <w:rPr>
          <w:rFonts w:ascii="Cambria" w:hAnsi="Cambria"/>
        </w:rPr>
        <w:t xml:space="preserve"> passou a cobrar, com efeitos imediatos à publicação da alteração legislativa, o valor mensal de 40.000 EUR para as </w:t>
      </w:r>
      <w:proofErr w:type="spellStart"/>
      <w:r w:rsidRPr="00AF749F">
        <w:rPr>
          <w:rFonts w:ascii="Cambria" w:hAnsi="Cambria"/>
          <w:i/>
          <w:iCs/>
        </w:rPr>
        <w:t>slot</w:t>
      </w:r>
      <w:proofErr w:type="spellEnd"/>
      <w:r w:rsidRPr="00AF749F">
        <w:rPr>
          <w:rFonts w:ascii="Cambria" w:hAnsi="Cambria"/>
          <w:i/>
          <w:iCs/>
        </w:rPr>
        <w:t xml:space="preserve"> </w:t>
      </w:r>
      <w:proofErr w:type="spellStart"/>
      <w:r w:rsidRPr="00AF749F">
        <w:rPr>
          <w:rFonts w:ascii="Cambria" w:hAnsi="Cambria"/>
          <w:i/>
          <w:iCs/>
        </w:rPr>
        <w:t>machines</w:t>
      </w:r>
      <w:proofErr w:type="spellEnd"/>
      <w:r w:rsidRPr="00AF749F">
        <w:rPr>
          <w:rFonts w:ascii="Cambria" w:hAnsi="Cambria"/>
        </w:rPr>
        <w:t xml:space="preserve"> instaladas em salas de jogos (casinos e demais salas de jogos com exceção dos «casinos eletrónicos») e o valor mensal de 50.000 EUR para </w:t>
      </w:r>
      <w:proofErr w:type="spellStart"/>
      <w:r w:rsidRPr="00AF749F">
        <w:rPr>
          <w:rFonts w:ascii="Cambria" w:hAnsi="Cambria"/>
        </w:rPr>
        <w:t>para</w:t>
      </w:r>
      <w:proofErr w:type="spellEnd"/>
      <w:r w:rsidRPr="00AF749F">
        <w:rPr>
          <w:rFonts w:ascii="Cambria" w:hAnsi="Cambria"/>
        </w:rPr>
        <w:t xml:space="preserve"> as </w:t>
      </w:r>
      <w:proofErr w:type="spellStart"/>
      <w:r w:rsidRPr="00AF749F">
        <w:rPr>
          <w:rFonts w:ascii="Cambria" w:hAnsi="Cambria"/>
          <w:i/>
          <w:iCs/>
        </w:rPr>
        <w:t>slot</w:t>
      </w:r>
      <w:proofErr w:type="spellEnd"/>
      <w:r w:rsidRPr="00AF749F">
        <w:rPr>
          <w:rFonts w:ascii="Cambria" w:hAnsi="Cambria"/>
          <w:i/>
          <w:iCs/>
        </w:rPr>
        <w:t xml:space="preserve"> </w:t>
      </w:r>
      <w:proofErr w:type="spellStart"/>
      <w:r w:rsidRPr="00AF749F">
        <w:rPr>
          <w:rFonts w:ascii="Cambria" w:hAnsi="Cambria"/>
          <w:i/>
          <w:iCs/>
        </w:rPr>
        <w:t>machines</w:t>
      </w:r>
      <w:proofErr w:type="spellEnd"/>
      <w:r w:rsidRPr="00AF749F">
        <w:rPr>
          <w:rFonts w:ascii="Cambria" w:hAnsi="Cambria"/>
        </w:rPr>
        <w:t xml:space="preserve"> instaladas em «casinos eletrónicos». </w:t>
      </w:r>
    </w:p>
    <w:p w14:paraId="454772AB" w14:textId="77EB303C" w:rsidR="000209EE" w:rsidRPr="00AF749F" w:rsidRDefault="00EB6615" w:rsidP="00A20A07">
      <w:pPr>
        <w:pStyle w:val="c01pointnumerotealtn"/>
        <w:ind w:left="28" w:firstLine="0"/>
        <w:rPr>
          <w:rFonts w:ascii="Cambria" w:hAnsi="Cambria"/>
        </w:rPr>
      </w:pPr>
      <w:r w:rsidRPr="00AF749F">
        <w:rPr>
          <w:rFonts w:ascii="Cambria" w:hAnsi="Cambria"/>
        </w:rPr>
        <w:t xml:space="preserve">Inconformados com esta alteração, </w:t>
      </w:r>
      <w:r w:rsidR="003F7877">
        <w:rPr>
          <w:rFonts w:ascii="Cambria" w:hAnsi="Cambria"/>
        </w:rPr>
        <w:t xml:space="preserve">as empresas que </w:t>
      </w:r>
      <w:r w:rsidRPr="00AF749F">
        <w:rPr>
          <w:rFonts w:ascii="Cambria" w:hAnsi="Cambria"/>
        </w:rPr>
        <w:t>opera</w:t>
      </w:r>
      <w:r w:rsidR="003F7877">
        <w:rPr>
          <w:rFonts w:ascii="Cambria" w:hAnsi="Cambria"/>
        </w:rPr>
        <w:t>m</w:t>
      </w:r>
      <w:r w:rsidRPr="00AF749F">
        <w:rPr>
          <w:rFonts w:ascii="Cambria" w:hAnsi="Cambria"/>
        </w:rPr>
        <w:t xml:space="preserve"> de </w:t>
      </w:r>
      <w:proofErr w:type="spellStart"/>
      <w:proofErr w:type="gramStart"/>
      <w:r w:rsidRPr="00AF749F">
        <w:rPr>
          <w:rFonts w:ascii="Cambria" w:hAnsi="Cambria"/>
          <w:i/>
        </w:rPr>
        <w:t>slot</w:t>
      </w:r>
      <w:proofErr w:type="spellEnd"/>
      <w:proofErr w:type="gramEnd"/>
      <w:r w:rsidRPr="00AF749F">
        <w:rPr>
          <w:rFonts w:ascii="Cambria" w:hAnsi="Cambria"/>
          <w:i/>
        </w:rPr>
        <w:t xml:space="preserve"> </w:t>
      </w:r>
      <w:proofErr w:type="spellStart"/>
      <w:r w:rsidRPr="00AF749F">
        <w:rPr>
          <w:rFonts w:ascii="Cambria" w:hAnsi="Cambria"/>
          <w:i/>
        </w:rPr>
        <w:t>machines</w:t>
      </w:r>
      <w:proofErr w:type="spellEnd"/>
      <w:r w:rsidRPr="00AF749F">
        <w:rPr>
          <w:rFonts w:ascii="Cambria" w:hAnsi="Cambria"/>
          <w:i/>
        </w:rPr>
        <w:t xml:space="preserve"> </w:t>
      </w:r>
      <w:r w:rsidRPr="00AF749F">
        <w:rPr>
          <w:rFonts w:ascii="Cambria" w:hAnsi="Cambria"/>
        </w:rPr>
        <w:t xml:space="preserve">apresentaram uma queixa junto da Comissão Europeia a qual, por sua vez, </w:t>
      </w:r>
      <w:r w:rsidR="000209EE" w:rsidRPr="00AF749F">
        <w:rPr>
          <w:rFonts w:ascii="Cambria" w:hAnsi="Cambria"/>
        </w:rPr>
        <w:t>acionou a República Austríaca junto do Tribunal de Justiça por incumprimento das regras do Tratado sobre o Funcionamento da União Europeia (TFUE).</w:t>
      </w:r>
    </w:p>
    <w:p w14:paraId="57EE71F5" w14:textId="2B8ACE70" w:rsidR="000209EE" w:rsidRPr="00AF749F" w:rsidRDefault="003F7877" w:rsidP="000209EE">
      <w:pPr>
        <w:pStyle w:val="c01pointnumerotealtn"/>
        <w:ind w:left="28" w:firstLine="0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0209EE" w:rsidRPr="00AF749F">
        <w:rPr>
          <w:rFonts w:ascii="Cambria" w:hAnsi="Cambria"/>
        </w:rPr>
        <w:t xml:space="preserve">Aprecie </w:t>
      </w:r>
      <w:r>
        <w:rPr>
          <w:rFonts w:ascii="Cambria" w:hAnsi="Cambria"/>
        </w:rPr>
        <w:t>juridicamente o caso, referindo:</w:t>
      </w:r>
    </w:p>
    <w:p w14:paraId="5E5AFC76" w14:textId="7C8593FA" w:rsidR="000209EE" w:rsidRPr="00AF749F" w:rsidRDefault="000209EE" w:rsidP="000209EE">
      <w:pPr>
        <w:pStyle w:val="c01pointnumerotealtn"/>
        <w:ind w:left="28" w:firstLine="0"/>
        <w:rPr>
          <w:rFonts w:ascii="Cambria" w:hAnsi="Cambria"/>
        </w:rPr>
      </w:pPr>
      <w:r w:rsidRPr="00AF749F">
        <w:rPr>
          <w:rFonts w:ascii="Cambria" w:hAnsi="Cambria"/>
        </w:rPr>
        <w:t xml:space="preserve">a) </w:t>
      </w:r>
      <w:proofErr w:type="gramStart"/>
      <w:r w:rsidR="00226101" w:rsidRPr="00AF749F">
        <w:rPr>
          <w:rFonts w:ascii="Cambria" w:hAnsi="Cambria"/>
        </w:rPr>
        <w:t>Qual(</w:t>
      </w:r>
      <w:proofErr w:type="spellStart"/>
      <w:r w:rsidR="00226101" w:rsidRPr="00AF749F">
        <w:rPr>
          <w:rFonts w:ascii="Cambria" w:hAnsi="Cambria"/>
        </w:rPr>
        <w:t>is</w:t>
      </w:r>
      <w:proofErr w:type="spellEnd"/>
      <w:proofErr w:type="gramEnd"/>
      <w:r w:rsidR="00226101" w:rsidRPr="00AF749F">
        <w:rPr>
          <w:rFonts w:ascii="Cambria" w:hAnsi="Cambria"/>
        </w:rPr>
        <w:t>) a</w:t>
      </w:r>
      <w:r w:rsidRPr="00AF749F">
        <w:rPr>
          <w:rFonts w:ascii="Cambria" w:hAnsi="Cambria"/>
        </w:rPr>
        <w:t>(s) liberdade(s) de circulação que poderá(</w:t>
      </w:r>
      <w:proofErr w:type="spellStart"/>
      <w:r w:rsidRPr="00AF749F">
        <w:rPr>
          <w:rFonts w:ascii="Cambria" w:hAnsi="Cambria"/>
        </w:rPr>
        <w:t>ão</w:t>
      </w:r>
      <w:proofErr w:type="spellEnd"/>
      <w:r w:rsidRPr="00AF749F">
        <w:rPr>
          <w:rFonts w:ascii="Cambria" w:hAnsi="Cambria"/>
        </w:rPr>
        <w:t>) ser afetada</w:t>
      </w:r>
      <w:r w:rsidR="00226101" w:rsidRPr="00AF749F">
        <w:rPr>
          <w:rFonts w:ascii="Cambria" w:hAnsi="Cambria"/>
        </w:rPr>
        <w:t>(</w:t>
      </w:r>
      <w:r w:rsidRPr="00AF749F">
        <w:rPr>
          <w:rFonts w:ascii="Cambria" w:hAnsi="Cambria"/>
        </w:rPr>
        <w:t>s</w:t>
      </w:r>
      <w:r w:rsidR="00226101" w:rsidRPr="00AF749F">
        <w:rPr>
          <w:rFonts w:ascii="Cambria" w:hAnsi="Cambria"/>
        </w:rPr>
        <w:t>)</w:t>
      </w:r>
      <w:r w:rsidRPr="00AF749F">
        <w:rPr>
          <w:rFonts w:ascii="Cambria" w:hAnsi="Cambria"/>
        </w:rPr>
        <w:t xml:space="preserve"> pela alteração da legislação austríaca</w:t>
      </w:r>
      <w:r w:rsidR="00226101" w:rsidRPr="00AF749F">
        <w:rPr>
          <w:rFonts w:ascii="Cambria" w:hAnsi="Cambria"/>
        </w:rPr>
        <w:t xml:space="preserve"> e </w:t>
      </w:r>
      <w:r w:rsidR="003F7877">
        <w:rPr>
          <w:rFonts w:ascii="Cambria" w:hAnsi="Cambria"/>
        </w:rPr>
        <w:t xml:space="preserve">de forma se produz </w:t>
      </w:r>
      <w:r w:rsidR="00226101" w:rsidRPr="00AF749F">
        <w:rPr>
          <w:rFonts w:ascii="Cambria" w:hAnsi="Cambria"/>
        </w:rPr>
        <w:t>essa afetação.</w:t>
      </w:r>
    </w:p>
    <w:p w14:paraId="0106958B" w14:textId="248A486F" w:rsidR="000209EE" w:rsidRPr="00AF749F" w:rsidRDefault="000209EE" w:rsidP="000209EE">
      <w:pPr>
        <w:pStyle w:val="c01pointnumerotealtn"/>
        <w:ind w:left="28" w:firstLine="0"/>
        <w:rPr>
          <w:rFonts w:ascii="Cambria" w:hAnsi="Cambria"/>
        </w:rPr>
      </w:pPr>
      <w:r w:rsidRPr="00AF749F">
        <w:rPr>
          <w:rFonts w:ascii="Cambria" w:hAnsi="Cambria"/>
        </w:rPr>
        <w:t>b) Compatibilidade da justificação invocada pelas autoridades austr</w:t>
      </w:r>
      <w:r w:rsidR="00226101" w:rsidRPr="00AF749F">
        <w:rPr>
          <w:rFonts w:ascii="Cambria" w:hAnsi="Cambria"/>
        </w:rPr>
        <w:t>í</w:t>
      </w:r>
      <w:r w:rsidRPr="00AF749F">
        <w:rPr>
          <w:rFonts w:ascii="Cambria" w:hAnsi="Cambria"/>
        </w:rPr>
        <w:t xml:space="preserve">acas </w:t>
      </w:r>
      <w:r w:rsidR="00226101" w:rsidRPr="00AF749F">
        <w:rPr>
          <w:rFonts w:ascii="Cambria" w:hAnsi="Cambria"/>
        </w:rPr>
        <w:t>com as regras do TFUE.</w:t>
      </w:r>
    </w:p>
    <w:p w14:paraId="153D355B" w14:textId="1FA24A2A" w:rsidR="00226101" w:rsidRPr="00AF749F" w:rsidRDefault="003F7877" w:rsidP="003F7877">
      <w:pPr>
        <w:pStyle w:val="c01pointnumerotealtn"/>
        <w:ind w:left="28" w:firstLine="0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226101" w:rsidRPr="00AF749F">
        <w:rPr>
          <w:rFonts w:ascii="Cambria" w:hAnsi="Cambria"/>
        </w:rPr>
        <w:t>Suponha que o decreto-lei dos jogos de fortuna ou azar sofreu</w:t>
      </w:r>
      <w:r w:rsidR="00A20A07" w:rsidRPr="00AF749F">
        <w:rPr>
          <w:rFonts w:ascii="Cambria" w:hAnsi="Cambria"/>
        </w:rPr>
        <w:t xml:space="preserve"> </w:t>
      </w:r>
      <w:r w:rsidR="00A20A07" w:rsidRPr="00AF749F">
        <w:rPr>
          <w:rFonts w:ascii="Cambria" w:hAnsi="Cambria"/>
          <w:u w:val="single"/>
        </w:rPr>
        <w:t>uma segunda alteração legislativa</w:t>
      </w:r>
      <w:r w:rsidR="00B64E1B">
        <w:rPr>
          <w:rFonts w:ascii="Cambria" w:hAnsi="Cambria"/>
          <w:u w:val="single"/>
        </w:rPr>
        <w:t xml:space="preserve"> em 2014</w:t>
      </w:r>
      <w:r w:rsidR="00A20A07" w:rsidRPr="00AF749F">
        <w:rPr>
          <w:rFonts w:ascii="Cambria" w:hAnsi="Cambria"/>
        </w:rPr>
        <w:t>, a qual incidiu sobre o</w:t>
      </w:r>
      <w:r w:rsidR="00B64E1B">
        <w:rPr>
          <w:rFonts w:ascii="Cambria" w:hAnsi="Cambria"/>
        </w:rPr>
        <w:t xml:space="preserve"> respetivo</w:t>
      </w:r>
      <w:r w:rsidR="004919B6" w:rsidRPr="00AF749F">
        <w:rPr>
          <w:rFonts w:ascii="Cambria" w:hAnsi="Cambria"/>
        </w:rPr>
        <w:t xml:space="preserve"> artigo 26.°</w:t>
      </w:r>
      <w:r w:rsidR="00A20A07" w:rsidRPr="00AF749F">
        <w:rPr>
          <w:rFonts w:ascii="Cambria" w:hAnsi="Cambria"/>
        </w:rPr>
        <w:t>/</w:t>
      </w:r>
      <w:r w:rsidR="005626A9" w:rsidRPr="00AF749F">
        <w:rPr>
          <w:rFonts w:ascii="Cambria" w:hAnsi="Cambria"/>
        </w:rPr>
        <w:t>3</w:t>
      </w:r>
      <w:r w:rsidR="00B64E1B">
        <w:rPr>
          <w:rFonts w:ascii="Cambria" w:hAnsi="Cambria"/>
        </w:rPr>
        <w:t xml:space="preserve"> </w:t>
      </w:r>
      <w:proofErr w:type="gramStart"/>
      <w:r w:rsidR="00B64E1B">
        <w:rPr>
          <w:rFonts w:ascii="Cambria" w:hAnsi="Cambria"/>
        </w:rPr>
        <w:t>e</w:t>
      </w:r>
      <w:proofErr w:type="gramEnd"/>
      <w:r w:rsidR="00A20A07" w:rsidRPr="00AF749F">
        <w:rPr>
          <w:rFonts w:ascii="Cambria" w:hAnsi="Cambria"/>
        </w:rPr>
        <w:t xml:space="preserve"> se traduziu na proibição </w:t>
      </w:r>
      <w:r w:rsidR="005626A9" w:rsidRPr="00AF749F">
        <w:rPr>
          <w:rFonts w:ascii="Cambria" w:hAnsi="Cambria"/>
        </w:rPr>
        <w:t>d</w:t>
      </w:r>
      <w:r w:rsidR="00A20A07" w:rsidRPr="00AF749F">
        <w:rPr>
          <w:rFonts w:ascii="Cambria" w:hAnsi="Cambria"/>
        </w:rPr>
        <w:t>a</w:t>
      </w:r>
      <w:r w:rsidR="005626A9" w:rsidRPr="00AF749F">
        <w:rPr>
          <w:rFonts w:ascii="Cambria" w:hAnsi="Cambria"/>
        </w:rPr>
        <w:t xml:space="preserve"> exploração das </w:t>
      </w:r>
      <w:proofErr w:type="spellStart"/>
      <w:r w:rsidR="005626A9" w:rsidRPr="00AF749F">
        <w:rPr>
          <w:rFonts w:ascii="Cambria" w:hAnsi="Cambria"/>
          <w:i/>
          <w:iCs/>
        </w:rPr>
        <w:t>slot</w:t>
      </w:r>
      <w:proofErr w:type="spellEnd"/>
      <w:r w:rsidR="005626A9" w:rsidRPr="00AF749F">
        <w:rPr>
          <w:rFonts w:ascii="Cambria" w:hAnsi="Cambria"/>
          <w:i/>
          <w:iCs/>
        </w:rPr>
        <w:t xml:space="preserve"> </w:t>
      </w:r>
      <w:proofErr w:type="spellStart"/>
      <w:r w:rsidR="005626A9" w:rsidRPr="00AF749F">
        <w:rPr>
          <w:rFonts w:ascii="Cambria" w:hAnsi="Cambria"/>
          <w:i/>
          <w:iCs/>
        </w:rPr>
        <w:t>machines</w:t>
      </w:r>
      <w:proofErr w:type="spellEnd"/>
      <w:r w:rsidR="00A20A07" w:rsidRPr="00AF749F">
        <w:rPr>
          <w:rFonts w:ascii="Cambria" w:hAnsi="Cambria"/>
          <w:i/>
          <w:iCs/>
        </w:rPr>
        <w:t xml:space="preserve"> </w:t>
      </w:r>
      <w:r w:rsidR="00A20A07" w:rsidRPr="00AF749F">
        <w:rPr>
          <w:rFonts w:ascii="Cambria" w:hAnsi="Cambria"/>
          <w:iCs/>
        </w:rPr>
        <w:t>fora dos casinos</w:t>
      </w:r>
      <w:r w:rsidR="005626A9" w:rsidRPr="00AF749F">
        <w:rPr>
          <w:rFonts w:ascii="Cambria" w:hAnsi="Cambria"/>
        </w:rPr>
        <w:t>.</w:t>
      </w:r>
      <w:r w:rsidR="00A20A07" w:rsidRPr="00AF749F">
        <w:rPr>
          <w:rFonts w:ascii="Cambria" w:hAnsi="Cambria"/>
        </w:rPr>
        <w:t xml:space="preserve"> De acordo com o preâmbulo do diploma que alterou o artigo 26.º/3 do decreto-lei dos jogos de </w:t>
      </w:r>
      <w:r w:rsidR="00A20A07" w:rsidRPr="00AF749F">
        <w:rPr>
          <w:rFonts w:ascii="Cambria" w:hAnsi="Cambria"/>
        </w:rPr>
        <w:lastRenderedPageBreak/>
        <w:t>fortuna ou azar</w:t>
      </w:r>
      <w:r w:rsidR="00EB6615" w:rsidRPr="00AF749F">
        <w:rPr>
          <w:rFonts w:ascii="Cambria" w:hAnsi="Cambria"/>
        </w:rPr>
        <w:t>, a introdução da alteração justificava-se, por um lado, pela</w:t>
      </w:r>
      <w:r w:rsidR="00A20A07" w:rsidRPr="00AF749F">
        <w:rPr>
          <w:rFonts w:ascii="Cambria" w:hAnsi="Cambria"/>
        </w:rPr>
        <w:t xml:space="preserve"> necessidade de proteger os </w:t>
      </w:r>
      <w:r w:rsidR="00A20A07" w:rsidRPr="00AF749F">
        <w:rPr>
          <w:rFonts w:ascii="Cambria" w:hAnsi="Cambria"/>
          <w:i/>
        </w:rPr>
        <w:t xml:space="preserve">consumidores </w:t>
      </w:r>
      <w:r w:rsidR="00A20A07" w:rsidRPr="00AF749F">
        <w:rPr>
          <w:rFonts w:ascii="Cambria" w:hAnsi="Cambria"/>
        </w:rPr>
        <w:t>face à dependência do jogo e</w:t>
      </w:r>
      <w:r w:rsidR="00EB6615" w:rsidRPr="00AF749F">
        <w:rPr>
          <w:rFonts w:ascii="Cambria" w:hAnsi="Cambria"/>
        </w:rPr>
        <w:t>, por outro,</w:t>
      </w:r>
      <w:r w:rsidR="00A20A07" w:rsidRPr="00AF749F">
        <w:rPr>
          <w:rFonts w:ascii="Cambria" w:hAnsi="Cambria"/>
        </w:rPr>
        <w:t xml:space="preserve"> </w:t>
      </w:r>
      <w:r w:rsidR="00B64E1B">
        <w:rPr>
          <w:rFonts w:ascii="Cambria" w:hAnsi="Cambria"/>
        </w:rPr>
        <w:t xml:space="preserve">pela necessidade de prevenir a </w:t>
      </w:r>
      <w:r w:rsidR="00A20A07" w:rsidRPr="00AF749F">
        <w:rPr>
          <w:rFonts w:ascii="Cambria" w:hAnsi="Cambria"/>
          <w:i/>
        </w:rPr>
        <w:t>criminalidade</w:t>
      </w:r>
      <w:r w:rsidR="00A20A07" w:rsidRPr="00AF749F">
        <w:rPr>
          <w:rFonts w:ascii="Cambria" w:hAnsi="Cambria"/>
        </w:rPr>
        <w:t xml:space="preserve"> associada ao jogo. </w:t>
      </w:r>
      <w:r w:rsidR="00EB6615" w:rsidRPr="00AF749F">
        <w:rPr>
          <w:rFonts w:ascii="Cambria" w:hAnsi="Cambria"/>
        </w:rPr>
        <w:t xml:space="preserve">O mesmo diploma previa ainda </w:t>
      </w:r>
      <w:r w:rsidR="005626A9" w:rsidRPr="00AF749F">
        <w:rPr>
          <w:rFonts w:ascii="Cambria" w:hAnsi="Cambria"/>
        </w:rPr>
        <w:t xml:space="preserve">que as autorizações relativas à exploração de </w:t>
      </w:r>
      <w:proofErr w:type="spellStart"/>
      <w:proofErr w:type="gramStart"/>
      <w:r w:rsidR="005626A9" w:rsidRPr="00AF749F">
        <w:rPr>
          <w:rFonts w:ascii="Cambria" w:hAnsi="Cambria"/>
          <w:i/>
          <w:iCs/>
        </w:rPr>
        <w:t>slot</w:t>
      </w:r>
      <w:proofErr w:type="spellEnd"/>
      <w:proofErr w:type="gramEnd"/>
      <w:r w:rsidR="005626A9" w:rsidRPr="00AF749F">
        <w:rPr>
          <w:rFonts w:ascii="Cambria" w:hAnsi="Cambria"/>
          <w:i/>
          <w:iCs/>
        </w:rPr>
        <w:t xml:space="preserve"> </w:t>
      </w:r>
      <w:proofErr w:type="spellStart"/>
      <w:r w:rsidR="005626A9" w:rsidRPr="00AF749F">
        <w:rPr>
          <w:rFonts w:ascii="Cambria" w:hAnsi="Cambria"/>
          <w:i/>
          <w:iCs/>
        </w:rPr>
        <w:t>machines</w:t>
      </w:r>
      <w:proofErr w:type="spellEnd"/>
      <w:r w:rsidR="005626A9" w:rsidRPr="00AF749F">
        <w:rPr>
          <w:rFonts w:ascii="Cambria" w:hAnsi="Cambria"/>
          <w:i/>
          <w:iCs/>
        </w:rPr>
        <w:t xml:space="preserve"> </w:t>
      </w:r>
      <w:r w:rsidR="005626A9" w:rsidRPr="00AF749F">
        <w:rPr>
          <w:rFonts w:ascii="Cambria" w:hAnsi="Cambria"/>
        </w:rPr>
        <w:t>emitidas antes da data de entrada em vigor d</w:t>
      </w:r>
      <w:r w:rsidR="00EB6615" w:rsidRPr="00AF749F">
        <w:rPr>
          <w:rFonts w:ascii="Cambria" w:hAnsi="Cambria"/>
        </w:rPr>
        <w:t>a</w:t>
      </w:r>
      <w:r w:rsidR="005626A9" w:rsidRPr="00AF749F">
        <w:rPr>
          <w:rFonts w:ascii="Cambria" w:hAnsi="Cambria"/>
        </w:rPr>
        <w:t xml:space="preserve"> alteração</w:t>
      </w:r>
      <w:r w:rsidR="00EB6615" w:rsidRPr="00AF749F">
        <w:rPr>
          <w:rFonts w:ascii="Cambria" w:hAnsi="Cambria"/>
        </w:rPr>
        <w:t xml:space="preserve"> e que não preenchessem as condições da nova redação do artigo 26.º/3 do decreto-lei dos jogos de fortuna ou azar</w:t>
      </w:r>
      <w:r w:rsidR="005626A9" w:rsidRPr="00AF749F">
        <w:rPr>
          <w:rFonts w:ascii="Cambria" w:hAnsi="Cambria"/>
        </w:rPr>
        <w:t>, caduca</w:t>
      </w:r>
      <w:r w:rsidR="00B64E1B">
        <w:rPr>
          <w:rFonts w:ascii="Cambria" w:hAnsi="Cambria"/>
        </w:rPr>
        <w:t>ssem</w:t>
      </w:r>
      <w:r w:rsidR="005626A9" w:rsidRPr="00AF749F">
        <w:rPr>
          <w:rFonts w:ascii="Cambria" w:hAnsi="Cambria"/>
        </w:rPr>
        <w:t xml:space="preserve"> no dia seguinte </w:t>
      </w:r>
      <w:r w:rsidR="00B64E1B">
        <w:rPr>
          <w:rFonts w:ascii="Cambria" w:hAnsi="Cambria"/>
        </w:rPr>
        <w:t>à entrada em vigor da alteração</w:t>
      </w:r>
      <w:r w:rsidR="005626A9" w:rsidRPr="00AF749F">
        <w:rPr>
          <w:rFonts w:ascii="Cambria" w:hAnsi="Cambria"/>
        </w:rPr>
        <w:t>.</w:t>
      </w:r>
    </w:p>
    <w:p w14:paraId="419D383F" w14:textId="7A98E4DA" w:rsidR="005626A9" w:rsidRPr="00AF749F" w:rsidRDefault="00226101" w:rsidP="00A20A07">
      <w:pPr>
        <w:pStyle w:val="c01pointnumerotealtn"/>
        <w:ind w:left="28" w:firstLine="0"/>
        <w:rPr>
          <w:rFonts w:ascii="Cambria" w:hAnsi="Cambria"/>
        </w:rPr>
      </w:pPr>
      <w:r w:rsidRPr="00AF749F">
        <w:rPr>
          <w:rFonts w:ascii="Cambria" w:hAnsi="Cambria"/>
        </w:rPr>
        <w:t xml:space="preserve">Analise a alteração introduzida à luz das regras do TFUE, em particular pelo que respeita aos </w:t>
      </w:r>
      <w:r w:rsidRPr="00B64E1B">
        <w:rPr>
          <w:rFonts w:ascii="Cambria" w:hAnsi="Cambria"/>
          <w:u w:val="single"/>
        </w:rPr>
        <w:t>motivos</w:t>
      </w:r>
      <w:r w:rsidRPr="00AF749F">
        <w:rPr>
          <w:rFonts w:ascii="Cambria" w:hAnsi="Cambria"/>
        </w:rPr>
        <w:t xml:space="preserve"> invocados e ao </w:t>
      </w:r>
      <w:r w:rsidRPr="00B64E1B">
        <w:rPr>
          <w:rFonts w:ascii="Cambria" w:hAnsi="Cambria"/>
          <w:u w:val="single"/>
        </w:rPr>
        <w:t>modo como a alteração foi implementada</w:t>
      </w:r>
      <w:r w:rsidR="005626A9" w:rsidRPr="00AF749F">
        <w:rPr>
          <w:rFonts w:ascii="Cambria" w:hAnsi="Cambria"/>
        </w:rPr>
        <w:t xml:space="preserve"> </w:t>
      </w:r>
      <w:r w:rsidR="00B64E1B">
        <w:rPr>
          <w:rFonts w:ascii="Cambria" w:hAnsi="Cambria"/>
        </w:rPr>
        <w:t>(proibição,</w:t>
      </w:r>
      <w:r w:rsidRPr="00AF749F">
        <w:rPr>
          <w:rFonts w:ascii="Cambria" w:hAnsi="Cambria"/>
        </w:rPr>
        <w:t xml:space="preserve"> aplicação no tempo</w:t>
      </w:r>
      <w:r w:rsidR="00B64E1B">
        <w:rPr>
          <w:rFonts w:ascii="Cambria" w:hAnsi="Cambria"/>
        </w:rPr>
        <w:t>, etc.</w:t>
      </w:r>
      <w:r w:rsidRPr="00AF749F">
        <w:rPr>
          <w:rFonts w:ascii="Cambria" w:hAnsi="Cambria"/>
        </w:rPr>
        <w:t>).</w:t>
      </w:r>
    </w:p>
    <w:sectPr w:rsidR="005626A9" w:rsidRPr="00AF749F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A0A3" w14:textId="77777777" w:rsidR="0069073B" w:rsidRDefault="0069073B">
      <w:r>
        <w:separator/>
      </w:r>
    </w:p>
  </w:endnote>
  <w:endnote w:type="continuationSeparator" w:id="0">
    <w:p w14:paraId="67D24A35" w14:textId="77777777" w:rsidR="0069073B" w:rsidRDefault="0069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A0190" w14:textId="77777777" w:rsidR="00C74ED9" w:rsidRDefault="00C74ED9" w:rsidP="00B03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1DB79F" w14:textId="77777777" w:rsidR="00C74ED9" w:rsidRDefault="00C74ED9" w:rsidP="00C74E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C464" w14:textId="77777777" w:rsidR="00C74ED9" w:rsidRDefault="00C74ED9" w:rsidP="00B03B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E1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6085DD7" w14:textId="600E4597" w:rsidR="00BF74D4" w:rsidRDefault="00BF74D4" w:rsidP="00C74ED9">
    <w:pPr>
      <w:pStyle w:val="Rodap"/>
      <w:ind w:right="360"/>
      <w:jc w:val="right"/>
    </w:pPr>
  </w:p>
  <w:p w14:paraId="390CDDB3" w14:textId="1E0020C6" w:rsidR="00BF74D4" w:rsidRDefault="00BF74D4" w:rsidP="006F31C3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196BA" w14:textId="77777777" w:rsidR="0069073B" w:rsidRDefault="0069073B">
      <w:r>
        <w:separator/>
      </w:r>
    </w:p>
  </w:footnote>
  <w:footnote w:type="continuationSeparator" w:id="0">
    <w:p w14:paraId="27B7EB2A" w14:textId="77777777" w:rsidR="0069073B" w:rsidRDefault="0069073B">
      <w:r>
        <w:continuationSeparator/>
      </w:r>
    </w:p>
  </w:footnote>
  <w:footnote w:id="1">
    <w:p w14:paraId="0639A3BB" w14:textId="17813E82" w:rsidR="003F7877" w:rsidRPr="003F7877" w:rsidRDefault="003F7877" w:rsidP="003F7877">
      <w:pPr>
        <w:pStyle w:val="Textodenotaderodap"/>
        <w:jc w:val="both"/>
        <w:rPr>
          <w:sz w:val="20"/>
          <w:szCs w:val="20"/>
        </w:rPr>
      </w:pPr>
      <w:r w:rsidRPr="003F7877">
        <w:rPr>
          <w:rStyle w:val="Refdenotaderodap"/>
          <w:sz w:val="20"/>
          <w:szCs w:val="20"/>
        </w:rPr>
        <w:footnoteRef/>
      </w:r>
      <w:r w:rsidRPr="003F7877">
        <w:rPr>
          <w:sz w:val="20"/>
          <w:szCs w:val="20"/>
        </w:rPr>
        <w:t xml:space="preserve"> Posição de jogo: autorização administrativa necessária à exploração da atividade de jogo e atribuída por cada </w:t>
      </w:r>
      <w:proofErr w:type="spellStart"/>
      <w:proofErr w:type="gramStart"/>
      <w:r w:rsidRPr="003F7877">
        <w:rPr>
          <w:i/>
          <w:sz w:val="20"/>
          <w:szCs w:val="20"/>
        </w:rPr>
        <w:t>slot</w:t>
      </w:r>
      <w:proofErr w:type="spellEnd"/>
      <w:proofErr w:type="gramEnd"/>
      <w:r w:rsidRPr="003F7877">
        <w:rPr>
          <w:i/>
          <w:sz w:val="20"/>
          <w:szCs w:val="20"/>
        </w:rPr>
        <w:t xml:space="preserve"> </w:t>
      </w:r>
      <w:proofErr w:type="spellStart"/>
      <w:r w:rsidRPr="003F7877">
        <w:rPr>
          <w:i/>
          <w:sz w:val="20"/>
          <w:szCs w:val="20"/>
        </w:rPr>
        <w:t>machine</w:t>
      </w:r>
      <w:proofErr w:type="spellEnd"/>
      <w:r w:rsidRPr="003F7877">
        <w:rPr>
          <w:i/>
          <w:sz w:val="20"/>
          <w:szCs w:val="20"/>
        </w:rPr>
        <w:t xml:space="preserve"> </w:t>
      </w:r>
      <w:r w:rsidRPr="003F7877">
        <w:rPr>
          <w:sz w:val="20"/>
          <w:szCs w:val="20"/>
        </w:rPr>
        <w:t>explorada.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D5E7" w14:textId="5C3EA60C" w:rsidR="00BF74D4" w:rsidRDefault="00BF74D4" w:rsidP="006F31C3">
    <w:pPr>
      <w:pStyle w:val="Cabealho"/>
      <w:jc w:val="center"/>
    </w:pPr>
    <w:r>
      <w:rPr>
        <w:noProof/>
      </w:rPr>
      <w:drawing>
        <wp:inline distT="0" distB="0" distL="0" distR="0" wp14:anchorId="50B38013" wp14:editId="02AA59AB">
          <wp:extent cx="2095500" cy="939800"/>
          <wp:effectExtent l="0" t="0" r="12700" b="0"/>
          <wp:docPr id="1" name="Picture 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88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27997"/>
    <w:multiLevelType w:val="hybridMultilevel"/>
    <w:tmpl w:val="6E622002"/>
    <w:lvl w:ilvl="0" w:tplc="1526A6A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11D4"/>
    <w:multiLevelType w:val="hybridMultilevel"/>
    <w:tmpl w:val="DDC201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3A17"/>
    <w:multiLevelType w:val="hybridMultilevel"/>
    <w:tmpl w:val="5124434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222"/>
    <w:multiLevelType w:val="multilevel"/>
    <w:tmpl w:val="C69E298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5815D4E"/>
    <w:multiLevelType w:val="hybridMultilevel"/>
    <w:tmpl w:val="172C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6333"/>
    <w:multiLevelType w:val="hybridMultilevel"/>
    <w:tmpl w:val="072ECD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7723"/>
    <w:multiLevelType w:val="hybridMultilevel"/>
    <w:tmpl w:val="B128F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679D"/>
    <w:multiLevelType w:val="hybridMultilevel"/>
    <w:tmpl w:val="F6E2F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17E1B"/>
    <w:multiLevelType w:val="hybridMultilevel"/>
    <w:tmpl w:val="2B78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3A31"/>
    <w:multiLevelType w:val="hybridMultilevel"/>
    <w:tmpl w:val="5268D4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029A2"/>
    <w:multiLevelType w:val="hybridMultilevel"/>
    <w:tmpl w:val="0B6EE22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0391"/>
    <w:multiLevelType w:val="hybridMultilevel"/>
    <w:tmpl w:val="F8EE4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0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247CED"/>
    <w:multiLevelType w:val="hybridMultilevel"/>
    <w:tmpl w:val="1B60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57CF1"/>
    <w:multiLevelType w:val="hybridMultilevel"/>
    <w:tmpl w:val="FB92C672"/>
    <w:lvl w:ilvl="0" w:tplc="B798E8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2453"/>
    <w:multiLevelType w:val="hybridMultilevel"/>
    <w:tmpl w:val="A2BC93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C0D37"/>
    <w:multiLevelType w:val="multilevel"/>
    <w:tmpl w:val="3CA885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7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C3"/>
    <w:rsid w:val="0000587A"/>
    <w:rsid w:val="00014066"/>
    <w:rsid w:val="000209EE"/>
    <w:rsid w:val="00022A9E"/>
    <w:rsid w:val="00036787"/>
    <w:rsid w:val="0005468F"/>
    <w:rsid w:val="00073F02"/>
    <w:rsid w:val="000B0025"/>
    <w:rsid w:val="000D30AE"/>
    <w:rsid w:val="000F0CA2"/>
    <w:rsid w:val="00111D6B"/>
    <w:rsid w:val="00160D80"/>
    <w:rsid w:val="00177BBC"/>
    <w:rsid w:val="001804BF"/>
    <w:rsid w:val="001C2BD2"/>
    <w:rsid w:val="001E46D7"/>
    <w:rsid w:val="00226101"/>
    <w:rsid w:val="00251530"/>
    <w:rsid w:val="00272D88"/>
    <w:rsid w:val="00290B7A"/>
    <w:rsid w:val="002C45DD"/>
    <w:rsid w:val="002E3260"/>
    <w:rsid w:val="003203B1"/>
    <w:rsid w:val="00332C9C"/>
    <w:rsid w:val="00354D4C"/>
    <w:rsid w:val="00366B34"/>
    <w:rsid w:val="003A101D"/>
    <w:rsid w:val="003A1656"/>
    <w:rsid w:val="003C2640"/>
    <w:rsid w:val="003C6756"/>
    <w:rsid w:val="003D6BEE"/>
    <w:rsid w:val="003F4F51"/>
    <w:rsid w:val="003F59D6"/>
    <w:rsid w:val="003F7877"/>
    <w:rsid w:val="00402FAC"/>
    <w:rsid w:val="00425D90"/>
    <w:rsid w:val="00453626"/>
    <w:rsid w:val="0045525A"/>
    <w:rsid w:val="00482AD7"/>
    <w:rsid w:val="004919B6"/>
    <w:rsid w:val="004A1F60"/>
    <w:rsid w:val="004D5764"/>
    <w:rsid w:val="00505F6B"/>
    <w:rsid w:val="005070CA"/>
    <w:rsid w:val="00523E19"/>
    <w:rsid w:val="005626A9"/>
    <w:rsid w:val="005A06AB"/>
    <w:rsid w:val="005A2197"/>
    <w:rsid w:val="005B1B1B"/>
    <w:rsid w:val="005D7C0F"/>
    <w:rsid w:val="00604EEE"/>
    <w:rsid w:val="0061783F"/>
    <w:rsid w:val="00630A5A"/>
    <w:rsid w:val="00631EB2"/>
    <w:rsid w:val="00632045"/>
    <w:rsid w:val="00653894"/>
    <w:rsid w:val="0068105C"/>
    <w:rsid w:val="00681152"/>
    <w:rsid w:val="0069073B"/>
    <w:rsid w:val="00690848"/>
    <w:rsid w:val="006A16AA"/>
    <w:rsid w:val="006E2C85"/>
    <w:rsid w:val="006E69F2"/>
    <w:rsid w:val="006F31C3"/>
    <w:rsid w:val="00717729"/>
    <w:rsid w:val="007415A5"/>
    <w:rsid w:val="00752382"/>
    <w:rsid w:val="00755F87"/>
    <w:rsid w:val="007D3ED0"/>
    <w:rsid w:val="007E5ED3"/>
    <w:rsid w:val="007E6506"/>
    <w:rsid w:val="00824608"/>
    <w:rsid w:val="008444E9"/>
    <w:rsid w:val="00872045"/>
    <w:rsid w:val="00880BDF"/>
    <w:rsid w:val="00883A05"/>
    <w:rsid w:val="0088759A"/>
    <w:rsid w:val="008941DA"/>
    <w:rsid w:val="008A6DD9"/>
    <w:rsid w:val="008D031B"/>
    <w:rsid w:val="008E19C7"/>
    <w:rsid w:val="008E30D6"/>
    <w:rsid w:val="008F5317"/>
    <w:rsid w:val="00923447"/>
    <w:rsid w:val="00946A68"/>
    <w:rsid w:val="00974D26"/>
    <w:rsid w:val="009A3371"/>
    <w:rsid w:val="009E3105"/>
    <w:rsid w:val="009F31AD"/>
    <w:rsid w:val="00A20A07"/>
    <w:rsid w:val="00A423BD"/>
    <w:rsid w:val="00AB2D39"/>
    <w:rsid w:val="00AF749F"/>
    <w:rsid w:val="00B53042"/>
    <w:rsid w:val="00B62991"/>
    <w:rsid w:val="00B64E1B"/>
    <w:rsid w:val="00BA7D28"/>
    <w:rsid w:val="00BC6625"/>
    <w:rsid w:val="00BD7E03"/>
    <w:rsid w:val="00BE0185"/>
    <w:rsid w:val="00BE6D03"/>
    <w:rsid w:val="00BF74D4"/>
    <w:rsid w:val="00C120B8"/>
    <w:rsid w:val="00C17F2D"/>
    <w:rsid w:val="00C25344"/>
    <w:rsid w:val="00C31CCE"/>
    <w:rsid w:val="00C54145"/>
    <w:rsid w:val="00C6457A"/>
    <w:rsid w:val="00C74ED9"/>
    <w:rsid w:val="00C75CE3"/>
    <w:rsid w:val="00C764E4"/>
    <w:rsid w:val="00CF2295"/>
    <w:rsid w:val="00CF3BE8"/>
    <w:rsid w:val="00DC70A3"/>
    <w:rsid w:val="00DE2596"/>
    <w:rsid w:val="00DF6EE5"/>
    <w:rsid w:val="00E31820"/>
    <w:rsid w:val="00E379C9"/>
    <w:rsid w:val="00E80ACE"/>
    <w:rsid w:val="00EB6615"/>
    <w:rsid w:val="00F03277"/>
    <w:rsid w:val="00F2248D"/>
    <w:rsid w:val="00F32D1A"/>
    <w:rsid w:val="00F3409A"/>
    <w:rsid w:val="00F71CB2"/>
    <w:rsid w:val="00F77C3F"/>
    <w:rsid w:val="00F85DEE"/>
    <w:rsid w:val="00FB442C"/>
    <w:rsid w:val="00FB7F64"/>
    <w:rsid w:val="00FC12AF"/>
    <w:rsid w:val="00FE406F"/>
    <w:rsid w:val="00FF14C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6D610A"/>
  <w15:docId w15:val="{7E30E804-2685-4106-91CF-A4A601ED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31C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F31C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F0C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E6506"/>
    <w:pPr>
      <w:ind w:left="720"/>
      <w:contextualSpacing/>
    </w:pPr>
    <w:rPr>
      <w:rFonts w:ascii="Cambria" w:eastAsia="MS Minngs" w:hAnsi="Cambria"/>
      <w:lang w:eastAsia="en-US"/>
    </w:rPr>
  </w:style>
  <w:style w:type="paragraph" w:styleId="Textodenotaderodap">
    <w:name w:val="footnote text"/>
    <w:basedOn w:val="Normal"/>
    <w:link w:val="TextodenotaderodapCarter"/>
    <w:rsid w:val="00883A05"/>
  </w:style>
  <w:style w:type="character" w:customStyle="1" w:styleId="TextodenotaderodapCarter">
    <w:name w:val="Texto de nota de rodapé Caráter"/>
    <w:basedOn w:val="Tipodeletrapredefinidodopargrafo"/>
    <w:link w:val="Textodenotaderodap"/>
    <w:rsid w:val="00883A05"/>
    <w:rPr>
      <w:sz w:val="24"/>
      <w:szCs w:val="24"/>
      <w:lang w:eastAsia="pt-PT"/>
    </w:rPr>
  </w:style>
  <w:style w:type="character" w:styleId="Refdenotaderodap">
    <w:name w:val="footnote reference"/>
    <w:basedOn w:val="Tipodeletrapredefinidodopargrafo"/>
    <w:rsid w:val="00883A05"/>
    <w:rPr>
      <w:vertAlign w:val="superscript"/>
    </w:rPr>
  </w:style>
  <w:style w:type="paragraph" w:styleId="Corpodetexto">
    <w:name w:val="Body Text"/>
    <w:basedOn w:val="Normal"/>
    <w:link w:val="CorpodetextoCarter"/>
    <w:rsid w:val="00653894"/>
    <w:pPr>
      <w:spacing w:after="220" w:line="24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894"/>
    <w:rPr>
      <w:rFonts w:ascii="Garamond" w:hAnsi="Garamond"/>
      <w:sz w:val="22"/>
      <w:szCs w:val="22"/>
      <w:lang w:val="en-GB" w:eastAsia="zh-CN"/>
    </w:rPr>
  </w:style>
  <w:style w:type="paragraph" w:customStyle="1" w:styleId="Default">
    <w:name w:val="Default"/>
    <w:rsid w:val="00F77C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entitem">
    <w:name w:val="parent_item"/>
    <w:basedOn w:val="Normal"/>
    <w:rsid w:val="005B1B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textoitem">
    <w:name w:val="texto_item"/>
    <w:basedOn w:val="Normal"/>
    <w:rsid w:val="005B1B1B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2A9E"/>
    <w:rPr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unhideWhenUsed/>
    <w:rsid w:val="00C74ED9"/>
  </w:style>
  <w:style w:type="paragraph" w:customStyle="1" w:styleId="c01pointnumerotealtn">
    <w:name w:val="c01pointnumerotealtn"/>
    <w:basedOn w:val="Normal"/>
    <w:rsid w:val="005626A9"/>
    <w:pPr>
      <w:spacing w:before="100" w:beforeAutospacing="1" w:after="240"/>
      <w:ind w:left="567" w:hanging="5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6434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44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1645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42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431">
                      <w:marLeft w:val="351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0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82EE-B6EE-4429-97C6-9B536F3B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FDUNL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Manso</dc:creator>
  <cp:lastModifiedBy>Lucio Feteira</cp:lastModifiedBy>
  <cp:revision>4</cp:revision>
  <cp:lastPrinted>2006-10-03T09:13:00Z</cp:lastPrinted>
  <dcterms:created xsi:type="dcterms:W3CDTF">2016-01-04T17:06:00Z</dcterms:created>
  <dcterms:modified xsi:type="dcterms:W3CDTF">2016-01-06T12:23:00Z</dcterms:modified>
</cp:coreProperties>
</file>