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F409" w14:textId="77777777" w:rsidR="00C25344" w:rsidRPr="00A04DB4" w:rsidRDefault="00C25344" w:rsidP="00BD0836">
      <w:pPr>
        <w:spacing w:line="276" w:lineRule="auto"/>
        <w:jc w:val="both"/>
        <w:rPr>
          <w:rFonts w:asciiTheme="minorHAnsi" w:hAnsiTheme="minorHAnsi"/>
        </w:rPr>
      </w:pPr>
    </w:p>
    <w:p w14:paraId="2721ED07" w14:textId="37F4D7F7" w:rsidR="00883A05" w:rsidRPr="00A04DB4" w:rsidRDefault="00DA18ED" w:rsidP="00BD0836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Direito</w:t>
      </w:r>
      <w:r w:rsidR="00A04DB4" w:rsidRPr="00A04DB4">
        <w:rPr>
          <w:rFonts w:asciiTheme="minorHAnsi" w:hAnsiTheme="minorHAnsi"/>
          <w:b/>
        </w:rPr>
        <w:t xml:space="preserve"> da Economia </w:t>
      </w:r>
      <w:r w:rsidR="001C724A" w:rsidRPr="00A04DB4">
        <w:rPr>
          <w:rFonts w:asciiTheme="minorHAnsi" w:hAnsiTheme="minorHAnsi"/>
          <w:b/>
        </w:rPr>
        <w:t>(L</w:t>
      </w:r>
      <w:r w:rsidR="00A04DB4" w:rsidRPr="00A04DB4">
        <w:rPr>
          <w:rFonts w:asciiTheme="minorHAnsi" w:hAnsiTheme="minorHAnsi"/>
          <w:b/>
        </w:rPr>
        <w:t>M</w:t>
      </w:r>
      <w:r w:rsidR="008F34A0" w:rsidRPr="00A04DB4">
        <w:rPr>
          <w:rFonts w:asciiTheme="minorHAnsi" w:hAnsiTheme="minorHAnsi"/>
          <w:b/>
        </w:rPr>
        <w:t xml:space="preserve"> </w:t>
      </w:r>
      <w:r w:rsidR="00BC6625" w:rsidRPr="00A04DB4">
        <w:rPr>
          <w:rFonts w:asciiTheme="minorHAnsi" w:hAnsiTheme="minorHAnsi"/>
          <w:b/>
        </w:rPr>
        <w:t>1</w:t>
      </w:r>
      <w:r w:rsidR="001C724A" w:rsidRPr="00A04DB4">
        <w:rPr>
          <w:rFonts w:asciiTheme="minorHAnsi" w:hAnsiTheme="minorHAnsi"/>
          <w:b/>
        </w:rPr>
        <w:t>0</w:t>
      </w:r>
      <w:r w:rsidR="00A04DB4" w:rsidRPr="00A04DB4">
        <w:rPr>
          <w:rFonts w:asciiTheme="minorHAnsi" w:hAnsiTheme="minorHAnsi"/>
          <w:b/>
        </w:rPr>
        <w:t>5</w:t>
      </w:r>
      <w:r w:rsidR="00BC6625" w:rsidRPr="00A04DB4">
        <w:rPr>
          <w:rFonts w:asciiTheme="minorHAnsi" w:hAnsiTheme="minorHAnsi"/>
          <w:b/>
        </w:rPr>
        <w:t>)</w:t>
      </w:r>
    </w:p>
    <w:p w14:paraId="15022B07" w14:textId="529D08E4" w:rsidR="00BC6625" w:rsidRPr="00A04DB4" w:rsidRDefault="008F34A0" w:rsidP="00BD0836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Ano académico 201</w:t>
      </w:r>
      <w:r w:rsidR="00F7738C" w:rsidRPr="00A04DB4">
        <w:rPr>
          <w:rFonts w:asciiTheme="minorHAnsi" w:hAnsiTheme="minorHAnsi"/>
          <w:b/>
        </w:rPr>
        <w:t>6</w:t>
      </w:r>
      <w:r w:rsidRPr="00A04DB4">
        <w:rPr>
          <w:rFonts w:asciiTheme="minorHAnsi" w:hAnsiTheme="minorHAnsi"/>
          <w:b/>
        </w:rPr>
        <w:t>/201</w:t>
      </w:r>
      <w:r w:rsidR="00F7738C" w:rsidRPr="00A04DB4">
        <w:rPr>
          <w:rFonts w:asciiTheme="minorHAnsi" w:hAnsiTheme="minorHAnsi"/>
          <w:b/>
        </w:rPr>
        <w:t>7</w:t>
      </w:r>
      <w:r w:rsidR="00477746" w:rsidRPr="00A04DB4">
        <w:rPr>
          <w:rFonts w:asciiTheme="minorHAnsi" w:hAnsiTheme="minorHAnsi"/>
          <w:b/>
        </w:rPr>
        <w:t xml:space="preserve"> – 2</w:t>
      </w:r>
      <w:r w:rsidR="00BC6625" w:rsidRPr="00A04DB4">
        <w:rPr>
          <w:rFonts w:asciiTheme="minorHAnsi" w:hAnsiTheme="minorHAnsi"/>
          <w:b/>
        </w:rPr>
        <w:t>.º semestre</w:t>
      </w:r>
    </w:p>
    <w:p w14:paraId="5F13CE7A" w14:textId="53D3B449" w:rsidR="00C97DE7" w:rsidRPr="00A04DB4" w:rsidRDefault="00A04DB4" w:rsidP="00BD0836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7</w:t>
      </w:r>
      <w:r w:rsidR="00F7738C" w:rsidRPr="00A04DB4">
        <w:rPr>
          <w:rFonts w:asciiTheme="minorHAnsi" w:hAnsiTheme="minorHAnsi"/>
          <w:b/>
        </w:rPr>
        <w:t xml:space="preserve"> </w:t>
      </w:r>
      <w:proofErr w:type="spellStart"/>
      <w:r w:rsidR="00477746" w:rsidRPr="00A04DB4">
        <w:rPr>
          <w:rFonts w:asciiTheme="minorHAnsi" w:hAnsiTheme="minorHAnsi"/>
          <w:b/>
        </w:rPr>
        <w:t>Jun</w:t>
      </w:r>
      <w:proofErr w:type="spellEnd"/>
      <w:r w:rsidR="00F7738C" w:rsidRPr="00A04DB4">
        <w:rPr>
          <w:rFonts w:asciiTheme="minorHAnsi" w:hAnsiTheme="minorHAnsi"/>
          <w:b/>
        </w:rPr>
        <w:t xml:space="preserve"> </w:t>
      </w:r>
      <w:r w:rsidR="00C97DE7" w:rsidRPr="00A04DB4">
        <w:rPr>
          <w:rFonts w:asciiTheme="minorHAnsi" w:hAnsiTheme="minorHAnsi"/>
          <w:b/>
        </w:rPr>
        <w:t>201</w:t>
      </w:r>
      <w:r w:rsidR="00F7738C" w:rsidRPr="00A04DB4">
        <w:rPr>
          <w:rFonts w:asciiTheme="minorHAnsi" w:hAnsiTheme="minorHAnsi"/>
          <w:b/>
        </w:rPr>
        <w:t>7</w:t>
      </w:r>
      <w:r w:rsidR="00C97DE7" w:rsidRPr="00A04DB4">
        <w:rPr>
          <w:rFonts w:asciiTheme="minorHAnsi" w:hAnsiTheme="minorHAnsi"/>
          <w:b/>
        </w:rPr>
        <w:t xml:space="preserve"> </w:t>
      </w:r>
      <w:r w:rsidR="00F7738C" w:rsidRPr="00A04DB4">
        <w:rPr>
          <w:rFonts w:asciiTheme="minorHAnsi" w:hAnsiTheme="minorHAnsi"/>
          <w:b/>
        </w:rPr>
        <w:t>/</w:t>
      </w:r>
      <w:r w:rsidR="00C97DE7" w:rsidRPr="00A04DB4">
        <w:rPr>
          <w:rFonts w:asciiTheme="minorHAnsi" w:hAnsiTheme="minorHAnsi"/>
          <w:b/>
        </w:rPr>
        <w:t xml:space="preserve"> </w:t>
      </w:r>
      <w:r w:rsidRPr="00A04DB4">
        <w:rPr>
          <w:rFonts w:asciiTheme="minorHAnsi" w:hAnsiTheme="minorHAnsi"/>
          <w:b/>
        </w:rPr>
        <w:t>09</w:t>
      </w:r>
      <w:r w:rsidR="00C97DE7" w:rsidRPr="00A04DB4">
        <w:rPr>
          <w:rFonts w:asciiTheme="minorHAnsi" w:hAnsiTheme="minorHAnsi"/>
          <w:b/>
        </w:rPr>
        <w:t>h-</w:t>
      </w:r>
      <w:r w:rsidR="00477746" w:rsidRPr="00A04DB4">
        <w:rPr>
          <w:rFonts w:asciiTheme="minorHAnsi" w:hAnsiTheme="minorHAnsi"/>
          <w:b/>
        </w:rPr>
        <w:t>1</w:t>
      </w:r>
      <w:r w:rsidRPr="00A04DB4">
        <w:rPr>
          <w:rFonts w:asciiTheme="minorHAnsi" w:hAnsiTheme="minorHAnsi"/>
          <w:b/>
        </w:rPr>
        <w:t>2</w:t>
      </w:r>
      <w:r w:rsidR="00C97DE7" w:rsidRPr="00A04DB4">
        <w:rPr>
          <w:rFonts w:asciiTheme="minorHAnsi" w:hAnsiTheme="minorHAnsi"/>
          <w:b/>
        </w:rPr>
        <w:t>h</w:t>
      </w:r>
      <w:r w:rsidR="00DD44C7" w:rsidRPr="00A04DB4">
        <w:rPr>
          <w:rFonts w:asciiTheme="minorHAnsi" w:hAnsiTheme="minorHAnsi"/>
          <w:b/>
        </w:rPr>
        <w:t xml:space="preserve"> / </w:t>
      </w:r>
      <w:r w:rsidRPr="00A04DB4">
        <w:rPr>
          <w:rFonts w:asciiTheme="minorHAnsi" w:hAnsiTheme="minorHAnsi"/>
          <w:b/>
        </w:rPr>
        <w:t>anfiteatro B</w:t>
      </w:r>
    </w:p>
    <w:p w14:paraId="003BE1AB" w14:textId="144D00CA" w:rsidR="00BC6625" w:rsidRPr="00A04DB4" w:rsidRDefault="00BC6625" w:rsidP="00BD0836">
      <w:pPr>
        <w:spacing w:line="276" w:lineRule="auto"/>
        <w:jc w:val="center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Exame final</w:t>
      </w:r>
    </w:p>
    <w:p w14:paraId="64548123" w14:textId="77777777" w:rsidR="00883A05" w:rsidRPr="00A04DB4" w:rsidRDefault="00883A05" w:rsidP="00BD0836">
      <w:pPr>
        <w:spacing w:line="276" w:lineRule="auto"/>
        <w:rPr>
          <w:rFonts w:asciiTheme="minorHAnsi" w:hAnsiTheme="minorHAnsi"/>
        </w:rPr>
      </w:pPr>
    </w:p>
    <w:p w14:paraId="2149CB57" w14:textId="77777777" w:rsidR="00655746" w:rsidRPr="00A04DB4" w:rsidRDefault="00655746" w:rsidP="00655746">
      <w:pPr>
        <w:spacing w:line="276" w:lineRule="auto"/>
        <w:rPr>
          <w:rFonts w:asciiTheme="minorHAnsi" w:hAnsiTheme="minorHAnsi"/>
          <w:b/>
          <w:u w:val="single"/>
        </w:rPr>
      </w:pPr>
      <w:r w:rsidRPr="00A04DB4">
        <w:rPr>
          <w:rFonts w:asciiTheme="minorHAnsi" w:hAnsiTheme="minorHAnsi"/>
          <w:b/>
          <w:u w:val="single"/>
        </w:rPr>
        <w:t>Instruções:</w:t>
      </w:r>
    </w:p>
    <w:p w14:paraId="270A7ABD" w14:textId="77777777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O exame tem a duração total de 180 (cento e oitenta) minutos </w:t>
      </w:r>
      <w:r w:rsidRPr="00A04DB4">
        <w:rPr>
          <w:rFonts w:asciiTheme="minorHAnsi" w:hAnsiTheme="minorHAnsi"/>
          <w:i/>
        </w:rPr>
        <w:t>improrrogáveis</w:t>
      </w:r>
      <w:r w:rsidRPr="00A04DB4">
        <w:rPr>
          <w:rFonts w:asciiTheme="minorHAnsi" w:hAnsiTheme="minorHAnsi"/>
        </w:rPr>
        <w:t>.</w:t>
      </w:r>
    </w:p>
    <w:p w14:paraId="58135CA1" w14:textId="67ED5B2E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>O exame é composto por</w:t>
      </w:r>
      <w:r w:rsidR="00FD477E">
        <w:rPr>
          <w:rFonts w:asciiTheme="minorHAnsi" w:hAnsiTheme="minorHAnsi"/>
        </w:rPr>
        <w:t xml:space="preserve"> 2 (dois) grupos (A e B), – sendo o grupo A composto por 2 (duas) questões e o grupo B por 3 (três) questões –</w:t>
      </w:r>
      <w:r w:rsidRPr="00A04DB4">
        <w:rPr>
          <w:rFonts w:asciiTheme="minorHAnsi" w:hAnsiTheme="minorHAnsi"/>
        </w:rPr>
        <w:t xml:space="preserve">, </w:t>
      </w:r>
      <w:r w:rsidR="00FD477E">
        <w:rPr>
          <w:rFonts w:asciiTheme="minorHAnsi" w:hAnsiTheme="minorHAnsi"/>
        </w:rPr>
        <w:t>aos</w:t>
      </w:r>
      <w:r w:rsidRPr="00A04DB4">
        <w:rPr>
          <w:rFonts w:asciiTheme="minorHAnsi" w:hAnsiTheme="minorHAnsi"/>
        </w:rPr>
        <w:t xml:space="preserve"> quais corresponde a pontuação total de 20 (vinte) valores.</w:t>
      </w:r>
      <w:r w:rsidR="00FD477E">
        <w:rPr>
          <w:rFonts w:asciiTheme="minorHAnsi" w:hAnsiTheme="minorHAnsi"/>
        </w:rPr>
        <w:t xml:space="preserve"> </w:t>
      </w:r>
      <w:r w:rsidR="00FD477E">
        <w:rPr>
          <w:rFonts w:asciiTheme="minorHAnsi" w:hAnsiTheme="minorHAnsi"/>
          <w:u w:val="single"/>
        </w:rPr>
        <w:t xml:space="preserve">No grupo B deve optar entre as questões 1 </w:t>
      </w:r>
      <w:r w:rsidR="00FD477E">
        <w:rPr>
          <w:rFonts w:asciiTheme="minorHAnsi" w:hAnsiTheme="minorHAnsi"/>
          <w:i/>
          <w:u w:val="single"/>
        </w:rPr>
        <w:t xml:space="preserve">ou </w:t>
      </w:r>
      <w:r w:rsidR="00FD477E">
        <w:rPr>
          <w:rFonts w:asciiTheme="minorHAnsi" w:hAnsiTheme="minorHAnsi"/>
          <w:u w:val="single"/>
        </w:rPr>
        <w:t>2; a questão 3 é de resposta obrigatória.</w:t>
      </w:r>
    </w:p>
    <w:p w14:paraId="79D580A0" w14:textId="77777777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As respostas devem ser redigidas com caligrafia </w:t>
      </w:r>
      <w:r w:rsidRPr="00A04DB4">
        <w:rPr>
          <w:rFonts w:asciiTheme="minorHAnsi" w:hAnsiTheme="minorHAnsi"/>
          <w:b/>
          <w:i/>
        </w:rPr>
        <w:t>legível</w:t>
      </w:r>
      <w:r w:rsidRPr="00A04DB4">
        <w:rPr>
          <w:rFonts w:asciiTheme="minorHAnsi" w:hAnsiTheme="minorHAnsi"/>
          <w:i/>
        </w:rPr>
        <w:t xml:space="preserve"> </w:t>
      </w:r>
      <w:r w:rsidRPr="00A04DB4">
        <w:rPr>
          <w:rFonts w:asciiTheme="minorHAnsi" w:hAnsiTheme="minorHAnsi"/>
        </w:rPr>
        <w:t xml:space="preserve">e não devem ultrapassar o limite total máximo de 6 (seis) páginas. </w:t>
      </w:r>
      <w:r w:rsidRPr="00A04DB4">
        <w:rPr>
          <w:rFonts w:asciiTheme="minorHAnsi" w:hAnsiTheme="minorHAnsi"/>
          <w:b/>
        </w:rPr>
        <w:t>As respostas que excederem o limite total de páginas não serão consideradas para efeitos de avaliação do exame escrito</w:t>
      </w:r>
      <w:r w:rsidRPr="00A04DB4">
        <w:rPr>
          <w:rFonts w:asciiTheme="minorHAnsi" w:hAnsiTheme="minorHAnsi"/>
        </w:rPr>
        <w:t>.</w:t>
      </w:r>
      <w:bookmarkStart w:id="0" w:name="_GoBack"/>
      <w:bookmarkEnd w:id="0"/>
    </w:p>
    <w:p w14:paraId="0EB468CC" w14:textId="77777777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  <w:i/>
          <w:u w:val="single"/>
        </w:rPr>
        <w:t>Concisão:</w:t>
      </w:r>
      <w:r w:rsidRPr="00A04DB4">
        <w:rPr>
          <w:rFonts w:asciiTheme="minorHAnsi" w:hAnsiTheme="minorHAnsi"/>
          <w:i/>
        </w:rPr>
        <w:t xml:space="preserve"> caso as respostas ao exame ocupem 4 (quatro) ou menos páginas, será atribuída uma bonificação de </w:t>
      </w:r>
      <w:r w:rsidRPr="00A04DB4">
        <w:rPr>
          <w:rFonts w:asciiTheme="minorHAnsi" w:hAnsiTheme="minorHAnsi"/>
          <w:b/>
          <w:i/>
        </w:rPr>
        <w:t xml:space="preserve">1 (um) valor </w:t>
      </w:r>
      <w:r w:rsidRPr="00A04DB4">
        <w:rPr>
          <w:rFonts w:asciiTheme="minorHAnsi" w:hAnsiTheme="minorHAnsi"/>
          <w:i/>
        </w:rPr>
        <w:t xml:space="preserve">a somar à pontuação total obtida no exame caso esta seja </w:t>
      </w:r>
      <w:r w:rsidRPr="00A04DB4">
        <w:rPr>
          <w:rFonts w:asciiTheme="minorHAnsi" w:hAnsiTheme="minorHAnsi"/>
          <w:b/>
          <w:i/>
        </w:rPr>
        <w:t>igual ou superior a 14 (catorze) valores</w:t>
      </w:r>
      <w:r w:rsidRPr="00A04DB4">
        <w:rPr>
          <w:rFonts w:asciiTheme="minorHAnsi" w:hAnsiTheme="minorHAnsi"/>
        </w:rPr>
        <w:t>.</w:t>
      </w:r>
    </w:p>
    <w:p w14:paraId="3A251886" w14:textId="77777777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No decurso do exame está autorizada a consulta de legislação (simples e anotada), apontamentos, fotocópias e livros </w:t>
      </w:r>
      <w:r w:rsidRPr="00A04DB4">
        <w:rPr>
          <w:rFonts w:asciiTheme="minorHAnsi" w:hAnsiTheme="minorHAnsi"/>
          <w:u w:val="single"/>
        </w:rPr>
        <w:t>do próprio</w:t>
      </w:r>
      <w:r w:rsidRPr="00A04DB4">
        <w:rPr>
          <w:rFonts w:asciiTheme="minorHAnsi" w:hAnsiTheme="minorHAnsi"/>
        </w:rPr>
        <w:t xml:space="preserve">. </w:t>
      </w:r>
    </w:p>
    <w:p w14:paraId="3C2AB248" w14:textId="77777777" w:rsidR="00655746" w:rsidRPr="00A04DB4" w:rsidRDefault="00655746" w:rsidP="0065574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t xml:space="preserve">A utilização de </w:t>
      </w:r>
      <w:proofErr w:type="spellStart"/>
      <w:r w:rsidRPr="00A04DB4">
        <w:rPr>
          <w:rFonts w:asciiTheme="minorHAnsi" w:hAnsiTheme="minorHAnsi"/>
          <w:i/>
        </w:rPr>
        <w:t>tablets</w:t>
      </w:r>
      <w:proofErr w:type="spellEnd"/>
      <w:r w:rsidRPr="00A04DB4">
        <w:rPr>
          <w:rFonts w:asciiTheme="minorHAnsi" w:hAnsiTheme="minorHAnsi"/>
        </w:rPr>
        <w:t xml:space="preserve">, </w:t>
      </w:r>
      <w:proofErr w:type="spellStart"/>
      <w:r w:rsidRPr="00A04DB4">
        <w:rPr>
          <w:rFonts w:asciiTheme="minorHAnsi" w:hAnsiTheme="minorHAnsi"/>
          <w:i/>
        </w:rPr>
        <w:t>smartphones</w:t>
      </w:r>
      <w:proofErr w:type="spellEnd"/>
      <w:r w:rsidRPr="00A04DB4">
        <w:rPr>
          <w:rFonts w:asciiTheme="minorHAnsi" w:hAnsiTheme="minorHAnsi"/>
        </w:rPr>
        <w:t xml:space="preserve">, </w:t>
      </w:r>
      <w:r w:rsidRPr="00A04DB4">
        <w:rPr>
          <w:rFonts w:asciiTheme="minorHAnsi" w:hAnsiTheme="minorHAnsi"/>
          <w:i/>
        </w:rPr>
        <w:t>laptops</w:t>
      </w:r>
      <w:r w:rsidRPr="00A04DB4">
        <w:rPr>
          <w:rFonts w:asciiTheme="minorHAnsi" w:hAnsiTheme="minorHAnsi"/>
        </w:rPr>
        <w:t xml:space="preserve"> ou qualquer outro equipamento </w:t>
      </w:r>
      <w:proofErr w:type="spellStart"/>
      <w:r w:rsidRPr="00A04DB4">
        <w:rPr>
          <w:rFonts w:asciiTheme="minorHAnsi" w:hAnsiTheme="minorHAnsi"/>
        </w:rPr>
        <w:t>eletrónico</w:t>
      </w:r>
      <w:proofErr w:type="spellEnd"/>
      <w:r w:rsidRPr="00A04DB4">
        <w:rPr>
          <w:rFonts w:asciiTheme="minorHAnsi" w:hAnsiTheme="minorHAnsi"/>
        </w:rPr>
        <w:t xml:space="preserve"> que permita o acesso à internet não é permitida durante toda a duração do exame.</w:t>
      </w:r>
    </w:p>
    <w:p w14:paraId="6487DF16" w14:textId="77777777" w:rsidR="009A3371" w:rsidRPr="00A04DB4" w:rsidRDefault="009A3371" w:rsidP="00BD0836">
      <w:pPr>
        <w:spacing w:line="276" w:lineRule="auto"/>
        <w:jc w:val="both"/>
        <w:rPr>
          <w:rFonts w:asciiTheme="minorHAnsi" w:hAnsiTheme="minorHAnsi"/>
        </w:rPr>
      </w:pPr>
    </w:p>
    <w:p w14:paraId="73E3DCAD" w14:textId="77777777" w:rsidR="009A3371" w:rsidRPr="00A04DB4" w:rsidRDefault="009A3371" w:rsidP="00BD0836">
      <w:pPr>
        <w:spacing w:line="276" w:lineRule="auto"/>
        <w:jc w:val="both"/>
        <w:rPr>
          <w:rFonts w:asciiTheme="minorHAnsi" w:hAnsiTheme="minorHAnsi"/>
        </w:rPr>
      </w:pPr>
    </w:p>
    <w:p w14:paraId="0795BD68" w14:textId="168FE945" w:rsidR="009A3371" w:rsidRPr="00A04DB4" w:rsidRDefault="009A3371" w:rsidP="00BD0836">
      <w:pPr>
        <w:spacing w:line="276" w:lineRule="auto"/>
        <w:jc w:val="both"/>
        <w:rPr>
          <w:rFonts w:asciiTheme="minorHAnsi" w:hAnsiTheme="minorHAnsi"/>
          <w:b/>
        </w:rPr>
      </w:pPr>
      <w:r w:rsidRPr="00A04DB4">
        <w:rPr>
          <w:rFonts w:asciiTheme="minorHAnsi" w:hAnsiTheme="minorHAnsi"/>
          <w:b/>
        </w:rPr>
        <w:t>Boa sorte!</w:t>
      </w:r>
    </w:p>
    <w:p w14:paraId="7BD629F6" w14:textId="760FB715" w:rsidR="009A3371" w:rsidRPr="00A04DB4" w:rsidRDefault="009A3371" w:rsidP="00BD0836">
      <w:pPr>
        <w:spacing w:line="276" w:lineRule="auto"/>
        <w:jc w:val="both"/>
        <w:rPr>
          <w:rFonts w:asciiTheme="minorHAnsi" w:hAnsiTheme="minorHAnsi"/>
        </w:rPr>
      </w:pPr>
      <w:r w:rsidRPr="00A04DB4">
        <w:rPr>
          <w:rFonts w:asciiTheme="minorHAnsi" w:hAnsiTheme="minorHAnsi"/>
        </w:rPr>
        <w:br w:type="page"/>
      </w:r>
    </w:p>
    <w:p w14:paraId="17440A7E" w14:textId="5C837DBC" w:rsidR="00A04DB4" w:rsidRDefault="00A04DB4" w:rsidP="00A04DB4">
      <w:pPr>
        <w:pStyle w:val="c01pointnumerotealtn"/>
        <w:spacing w:after="240" w:afterAutospacing="0"/>
        <w:ind w:firstLine="28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DF51CF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Grupo A</w:t>
      </w:r>
      <w:r w:rsidR="00B75B00">
        <w:rPr>
          <w:rFonts w:asciiTheme="minorHAnsi" w:hAnsiTheme="minorHAnsi" w:cs="Arial"/>
          <w:b/>
          <w:color w:val="000000"/>
          <w:sz w:val="24"/>
          <w:szCs w:val="24"/>
        </w:rPr>
        <w:t xml:space="preserve"> (15 valores)</w:t>
      </w:r>
    </w:p>
    <w:p w14:paraId="45AE28FE" w14:textId="3B7B83E4" w:rsidR="00DF51CF" w:rsidRPr="00DF51CF" w:rsidRDefault="00DF51CF" w:rsidP="00A04DB4">
      <w:pPr>
        <w:pStyle w:val="c01pointnumerotealtn"/>
        <w:spacing w:after="240" w:afterAutospacing="0"/>
        <w:ind w:firstLine="28"/>
        <w:jc w:val="both"/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DF51CF">
        <w:rPr>
          <w:rFonts w:asciiTheme="minorHAnsi" w:hAnsiTheme="minorHAnsi" w:cs="Arial"/>
          <w:color w:val="000000"/>
          <w:sz w:val="24"/>
          <w:szCs w:val="24"/>
          <w:u w:val="single"/>
        </w:rPr>
        <w:t>Questão 1</w:t>
      </w:r>
      <w:r w:rsidR="00B75B00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(10 valores)</w:t>
      </w:r>
    </w:p>
    <w:p w14:paraId="666E0878" w14:textId="51B36DD9" w:rsidR="00A04DB4" w:rsidRPr="00A04DB4" w:rsidRDefault="00A04DB4" w:rsidP="00A04DB4">
      <w:pPr>
        <w:pStyle w:val="c01pointnumerotealtn"/>
        <w:spacing w:after="240" w:afterAutospacing="0" w:line="276" w:lineRule="auto"/>
        <w:ind w:firstLine="2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Considerando que a prática do </w:t>
      </w:r>
      <w:r w:rsidR="00DF51CF">
        <w:rPr>
          <w:rFonts w:asciiTheme="minorHAnsi" w:hAnsiTheme="minorHAnsi" w:cs="Arial"/>
          <w:color w:val="000000"/>
          <w:sz w:val="24"/>
          <w:szCs w:val="24"/>
        </w:rPr>
        <w:t>L</w:t>
      </w:r>
      <w:r w:rsidR="003056F0">
        <w:rPr>
          <w:rFonts w:asciiTheme="minorHAnsi" w:hAnsiTheme="minorHAnsi" w:cs="Arial"/>
          <w:color w:val="000000"/>
          <w:sz w:val="24"/>
          <w:szCs w:val="24"/>
        </w:rPr>
        <w:t>P</w:t>
      </w:r>
      <w:r w:rsidR="00DF51CF">
        <w:rPr>
          <w:rFonts w:asciiTheme="minorHAnsi" w:hAnsiTheme="minorHAnsi" w:cs="Arial"/>
          <w:color w:val="000000"/>
          <w:sz w:val="24"/>
          <w:szCs w:val="24"/>
        </w:rPr>
        <w:t>GA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(laboratório</w:t>
      </w:r>
      <w:r w:rsidR="003056F0">
        <w:rPr>
          <w:rFonts w:asciiTheme="minorHAnsi" w:hAnsiTheme="minorHAnsi" w:cs="Arial"/>
          <w:color w:val="000000"/>
          <w:sz w:val="24"/>
          <w:szCs w:val="24"/>
        </w:rPr>
        <w:t xml:space="preserve"> público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de garantia</w:t>
      </w:r>
      <w:r w:rsidR="00DF51CF">
        <w:rPr>
          <w:rFonts w:asciiTheme="minorHAnsi" w:hAnsiTheme="minorHAnsi" w:cs="Arial"/>
          <w:color w:val="000000"/>
          <w:sz w:val="24"/>
          <w:szCs w:val="24"/>
        </w:rPr>
        <w:t xml:space="preserve"> austríaco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), que consiste em recusar reconhecer os punções da </w:t>
      </w:r>
      <w:r w:rsidR="00DF51CF">
        <w:rPr>
          <w:rFonts w:asciiTheme="minorHAnsi" w:hAnsiTheme="minorHAnsi" w:cs="Arial"/>
          <w:color w:val="000000"/>
          <w:sz w:val="24"/>
          <w:szCs w:val="24"/>
        </w:rPr>
        <w:t>PWA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, um laboratório de garantia independente com sede n</w:t>
      </w:r>
      <w:r w:rsidR="00DF51CF">
        <w:rPr>
          <w:rFonts w:asciiTheme="minorHAnsi" w:hAnsiTheme="minorHAnsi" w:cs="Arial"/>
          <w:color w:val="000000"/>
          <w:sz w:val="24"/>
          <w:szCs w:val="24"/>
        </w:rPr>
        <w:t>a República Checa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e sucursais em Estados terceiros, e, consequentemente, exigir a aposição, nos metais preciosos em causa, de um punção </w:t>
      </w:r>
      <w:r w:rsidR="00DF51CF">
        <w:rPr>
          <w:rFonts w:asciiTheme="minorHAnsi" w:hAnsiTheme="minorHAnsi" w:cs="Arial"/>
          <w:color w:val="000000"/>
          <w:sz w:val="24"/>
          <w:szCs w:val="24"/>
        </w:rPr>
        <w:t>austríaco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adicional</w:t>
      </w:r>
      <w:r w:rsidR="003056F0">
        <w:rPr>
          <w:rFonts w:asciiTheme="minorHAnsi" w:hAnsiTheme="minorHAnsi" w:cs="Arial"/>
          <w:color w:val="000000"/>
          <w:sz w:val="24"/>
          <w:szCs w:val="24"/>
        </w:rPr>
        <w:t xml:space="preserve"> antes de permitir a sua comercialização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, é contrária ao artigo 34.° TFUE, a Comissão, por carta de 30 de setembro de 2011, notificou a República 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da Áustria 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para apresentar as suas observações.</w:t>
      </w:r>
    </w:p>
    <w:p w14:paraId="2647DA82" w14:textId="1B18BFDF" w:rsidR="00A04DB4" w:rsidRPr="00A04DB4" w:rsidRDefault="00A04DB4" w:rsidP="00A04DB4">
      <w:pPr>
        <w:pStyle w:val="c01pointnumerotealtn"/>
        <w:spacing w:after="240" w:afterAutospacing="0" w:line="276" w:lineRule="auto"/>
        <w:ind w:firstLine="28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Na sua carta de resposta de 30 de novembro de 2011, a República 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da Áustria 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não contestou o não reconhecimento desses punções. No entanto, esse Estado</w:t>
      </w:r>
      <w:r w:rsidR="001D30CD">
        <w:rPr>
          <w:rFonts w:asciiTheme="minorHAnsi" w:hAnsiTheme="minorHAnsi" w:cs="Arial"/>
          <w:color w:val="000000"/>
          <w:sz w:val="24"/>
          <w:szCs w:val="24"/>
        </w:rPr>
        <w:t>-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Membro alegou, em substância, que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 (i)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o presente processo dizia respeito à livre circulação de</w:t>
      </w:r>
      <w:r w:rsidR="00FD477E">
        <w:rPr>
          <w:rFonts w:asciiTheme="minorHAnsi" w:hAnsiTheme="minorHAnsi" w:cs="Arial"/>
          <w:color w:val="000000"/>
          <w:sz w:val="24"/>
          <w:szCs w:val="24"/>
        </w:rPr>
        <w:t xml:space="preserve"> serviços, e não de mercadorias;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e que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proofErr w:type="spellStart"/>
      <w:r w:rsidR="001D30CD">
        <w:rPr>
          <w:rFonts w:asciiTheme="minorHAnsi" w:hAnsiTheme="minorHAnsi" w:cs="Arial"/>
          <w:color w:val="000000"/>
          <w:sz w:val="24"/>
          <w:szCs w:val="24"/>
        </w:rPr>
        <w:t>ii</w:t>
      </w:r>
      <w:proofErr w:type="spellEnd"/>
      <w:r w:rsidR="001D30CD">
        <w:rPr>
          <w:rFonts w:asciiTheme="minorHAnsi" w:hAnsiTheme="minorHAnsi" w:cs="Arial"/>
          <w:color w:val="000000"/>
          <w:sz w:val="24"/>
          <w:szCs w:val="24"/>
        </w:rPr>
        <w:t>)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essa recusa de reconhecimento se justificava pela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 necessidade de proteger os consumidores face à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impossibilidade de distinguir, entre os referidos punções, os que foram apostos </w:t>
      </w:r>
      <w:r w:rsidRPr="001D30CD">
        <w:rPr>
          <w:rFonts w:asciiTheme="minorHAnsi" w:hAnsiTheme="minorHAnsi" w:cs="Arial"/>
          <w:i/>
          <w:color w:val="000000"/>
          <w:sz w:val="24"/>
          <w:szCs w:val="24"/>
        </w:rPr>
        <w:t>fora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do território da União Europeia e os que foram apostos no território da União.</w:t>
      </w:r>
      <w:r w:rsidRPr="00A04DB4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 </w:t>
      </w:r>
    </w:p>
    <w:p w14:paraId="2D966AD2" w14:textId="1638C3A3" w:rsidR="00A04DB4" w:rsidRDefault="00A04DB4" w:rsidP="00A04DB4">
      <w:pPr>
        <w:pStyle w:val="c01pointnumerotealtn"/>
        <w:spacing w:after="240" w:afterAutospacing="0" w:line="276" w:lineRule="auto"/>
        <w:ind w:firstLine="28"/>
        <w:jc w:val="both"/>
        <w:rPr>
          <w:rStyle w:val="apple-converted-space"/>
          <w:rFonts w:asciiTheme="minorHAnsi" w:hAnsiTheme="minorHAnsi" w:cs="Arial"/>
          <w:color w:val="000000"/>
          <w:sz w:val="24"/>
          <w:szCs w:val="24"/>
        </w:rPr>
      </w:pP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Após apreciar os argumentos da República </w:t>
      </w:r>
      <w:r w:rsidR="001D30CD">
        <w:rPr>
          <w:rFonts w:asciiTheme="minorHAnsi" w:hAnsiTheme="minorHAnsi" w:cs="Arial"/>
          <w:color w:val="000000"/>
          <w:sz w:val="24"/>
          <w:szCs w:val="24"/>
        </w:rPr>
        <w:t xml:space="preserve">da Áustria 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que figuravam nessa carta, a Comissão enviou à República </w:t>
      </w:r>
      <w:r w:rsidR="001D30CD">
        <w:rPr>
          <w:rFonts w:asciiTheme="minorHAnsi" w:hAnsiTheme="minorHAnsi" w:cs="Arial"/>
          <w:color w:val="000000"/>
          <w:sz w:val="24"/>
          <w:szCs w:val="24"/>
        </w:rPr>
        <w:t>da Áustria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, em 30 de maio de 2013, um parecer fundamentado</w:t>
      </w:r>
      <w:r w:rsidR="003056F0">
        <w:rPr>
          <w:rFonts w:asciiTheme="minorHAnsi" w:hAnsiTheme="minorHAnsi" w:cs="Arial"/>
          <w:color w:val="000000"/>
          <w:sz w:val="24"/>
          <w:szCs w:val="24"/>
        </w:rPr>
        <w:t xml:space="preserve"> no qual confirmava o seu entendimento anterior e convidava 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>a República</w:t>
      </w:r>
      <w:r w:rsidR="003056F0">
        <w:rPr>
          <w:rFonts w:asciiTheme="minorHAnsi" w:hAnsiTheme="minorHAnsi" w:cs="Arial"/>
          <w:color w:val="000000"/>
          <w:sz w:val="24"/>
          <w:szCs w:val="24"/>
        </w:rPr>
        <w:t xml:space="preserve"> da Áustria</w:t>
      </w:r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a adotar as medidas necessárias para dar cumprimento ao artigo 34.° TFUE num prazo de dois meses a contar da </w:t>
      </w:r>
      <w:proofErr w:type="spellStart"/>
      <w:r w:rsidRPr="00A04DB4">
        <w:rPr>
          <w:rFonts w:asciiTheme="minorHAnsi" w:hAnsiTheme="minorHAnsi" w:cs="Arial"/>
          <w:color w:val="000000"/>
          <w:sz w:val="24"/>
          <w:szCs w:val="24"/>
        </w:rPr>
        <w:t>receção</w:t>
      </w:r>
      <w:proofErr w:type="spellEnd"/>
      <w:r w:rsidRPr="00A04DB4">
        <w:rPr>
          <w:rFonts w:asciiTheme="minorHAnsi" w:hAnsiTheme="minorHAnsi" w:cs="Arial"/>
          <w:color w:val="000000"/>
          <w:sz w:val="24"/>
          <w:szCs w:val="24"/>
        </w:rPr>
        <w:t xml:space="preserve"> do referido parecer.</w:t>
      </w:r>
      <w:r w:rsidRPr="00A04DB4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 </w:t>
      </w:r>
      <w:r w:rsidR="003056F0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 Não tendo a República da Áustria acatado o parecer</w:t>
      </w:r>
      <w:r w:rsidR="00892828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 fundamentado</w:t>
      </w:r>
      <w:r w:rsidR="003056F0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 da Comissão Europeia, </w:t>
      </w:r>
      <w:r w:rsidR="00892828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esta intentou junto do </w:t>
      </w:r>
      <w:r w:rsidR="003056F0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Tribunal de Justiça </w:t>
      </w:r>
      <w:r w:rsidR="00892828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uma ação por incumprimento.</w:t>
      </w:r>
    </w:p>
    <w:p w14:paraId="1AB5EFAD" w14:textId="1F85816A" w:rsidR="00892828" w:rsidRDefault="00892828" w:rsidP="00892828">
      <w:pPr>
        <w:pStyle w:val="c01pointnumerotealtn"/>
        <w:numPr>
          <w:ilvl w:val="0"/>
          <w:numId w:val="26"/>
        </w:numPr>
        <w:spacing w:after="240" w:afterAutospacing="0" w:line="276" w:lineRule="auto"/>
        <w:jc w:val="both"/>
        <w:rPr>
          <w:rStyle w:val="apple-converted-space"/>
          <w:rFonts w:asciiTheme="minorHAnsi" w:hAnsiTheme="minorHAnsi" w:cs="Arial"/>
          <w:color w:val="000000"/>
          <w:sz w:val="24"/>
          <w:szCs w:val="24"/>
        </w:rPr>
      </w:pPr>
      <w:r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Aprecie juridicamente, à luz das normas aplicáveis e da jurisprudência</w:t>
      </w:r>
      <w:r w:rsidR="00FD477E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 relevante</w:t>
      </w:r>
      <w:r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, as imputações feitas pela Comissão Europeia à República da Áustria e a justificação por esta apresentada.</w:t>
      </w:r>
    </w:p>
    <w:p w14:paraId="7B2E3CF9" w14:textId="53AD1AD7" w:rsidR="00892828" w:rsidRPr="00A04DB4" w:rsidRDefault="00892828" w:rsidP="00892828">
      <w:pPr>
        <w:pStyle w:val="c01pointnumerotealtn"/>
        <w:numPr>
          <w:ilvl w:val="0"/>
          <w:numId w:val="26"/>
        </w:numPr>
        <w:spacing w:after="240" w:afterAutospacing="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Terá a República da Áustria razão em afirmar que o caso em apreço respeita à </w:t>
      </w:r>
      <w:r>
        <w:rPr>
          <w:rStyle w:val="apple-converted-space"/>
          <w:rFonts w:asciiTheme="minorHAnsi" w:hAnsiTheme="minorHAnsi" w:cs="Arial"/>
          <w:i/>
          <w:color w:val="000000"/>
          <w:sz w:val="24"/>
          <w:szCs w:val="24"/>
        </w:rPr>
        <w:t>liberdade de circulação de serviços</w:t>
      </w:r>
      <w:r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? </w:t>
      </w:r>
      <w:r w:rsidR="00FD477E"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>Em que medida poderá</w:t>
      </w:r>
      <w:r>
        <w:rPr>
          <w:rStyle w:val="apple-converted-space"/>
          <w:rFonts w:asciiTheme="minorHAnsi" w:hAnsiTheme="minorHAnsi" w:cs="Arial"/>
          <w:color w:val="000000"/>
          <w:sz w:val="24"/>
          <w:szCs w:val="24"/>
        </w:rPr>
        <w:t xml:space="preserve"> este enquadramento modificar a apreciação jurídica do caso ?</w:t>
      </w:r>
    </w:p>
    <w:p w14:paraId="67392607" w14:textId="6963F2E8" w:rsidR="00892828" w:rsidRDefault="00892828">
      <w:pPr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/>
        </w:rPr>
        <w:br w:type="page"/>
      </w:r>
    </w:p>
    <w:p w14:paraId="3A6A94A2" w14:textId="1F212A2C" w:rsidR="00655746" w:rsidRDefault="00892828" w:rsidP="00892828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lastRenderedPageBreak/>
        <w:t>Questão 2</w:t>
      </w:r>
      <w:r w:rsidR="00FD477E">
        <w:rPr>
          <w:rFonts w:asciiTheme="minorHAnsi" w:hAnsiTheme="minorHAnsi"/>
          <w:u w:val="single"/>
        </w:rPr>
        <w:t xml:space="preserve"> (5</w:t>
      </w:r>
      <w:r w:rsidR="00B75B00">
        <w:rPr>
          <w:rFonts w:asciiTheme="minorHAnsi" w:hAnsiTheme="minorHAnsi"/>
          <w:u w:val="single"/>
        </w:rPr>
        <w:t xml:space="preserve"> valores)</w:t>
      </w:r>
    </w:p>
    <w:p w14:paraId="7C5E67B3" w14:textId="77777777" w:rsidR="00892828" w:rsidRDefault="00892828" w:rsidP="00892828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9652053" w14:textId="044D9C55" w:rsidR="004B6148" w:rsidRDefault="004B6148" w:rsidP="00BE076F">
      <w:pPr>
        <w:pStyle w:val="c01pointnumerotealtn"/>
        <w:spacing w:after="240" w:afterAutospacing="0" w:line="276" w:lineRule="auto"/>
        <w:ind w:firstLine="28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Parte da jurisprudência mais recente sobre liberdades de circulação tem incidido sobre legislação nacional para o sector farmacêutico e, em especial, </w:t>
      </w:r>
      <w:r w:rsidR="00DC0CDB">
        <w:rPr>
          <w:rFonts w:asciiTheme="minorHAnsi" w:hAnsiTheme="minorHAnsi" w:cs="Arial"/>
          <w:color w:val="000000"/>
          <w:sz w:val="24"/>
          <w:szCs w:val="24"/>
        </w:rPr>
        <w:t>sobre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três tipos de medidas:</w:t>
      </w:r>
    </w:p>
    <w:p w14:paraId="3CECD3D4" w14:textId="6AB2AA4C" w:rsidR="004B6148" w:rsidRDefault="004B6148" w:rsidP="004B6148">
      <w:pPr>
        <w:pStyle w:val="c01pointnumerotealtn"/>
        <w:numPr>
          <w:ilvl w:val="0"/>
          <w:numId w:val="27"/>
        </w:numPr>
        <w:spacing w:after="240" w:afterAutospacing="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Legislação que proíbe a venda por correspondência</w:t>
      </w:r>
      <w:r w:rsidR="00724B91">
        <w:rPr>
          <w:rFonts w:asciiTheme="minorHAnsi" w:hAnsiTheme="minorHAnsi" w:cs="Arial"/>
          <w:color w:val="000000"/>
          <w:sz w:val="24"/>
          <w:szCs w:val="24"/>
        </w:rPr>
        <w:t xml:space="preserve"> de medicamentos cuja venda seja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feita exclusivamente em farmácias.</w:t>
      </w:r>
    </w:p>
    <w:p w14:paraId="4E14945D" w14:textId="77777777" w:rsidR="00DC0CDB" w:rsidRDefault="00DC0CDB" w:rsidP="004B6148">
      <w:pPr>
        <w:pStyle w:val="c01pointnumerotealtn"/>
        <w:numPr>
          <w:ilvl w:val="0"/>
          <w:numId w:val="27"/>
        </w:numPr>
        <w:spacing w:after="240" w:afterAutospacing="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Legislação que impede as pessoas que não tenham a qualidade de farmacêuticos de serem proprietários de farmácias e de as explorar.</w:t>
      </w:r>
    </w:p>
    <w:p w14:paraId="4103AA1F" w14:textId="77777777" w:rsidR="00DC0CDB" w:rsidRDefault="00DC0CDB" w:rsidP="004B6148">
      <w:pPr>
        <w:pStyle w:val="c01pointnumerotealtn"/>
        <w:numPr>
          <w:ilvl w:val="0"/>
          <w:numId w:val="27"/>
        </w:numPr>
        <w:spacing w:after="240" w:afterAutospacing="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Legislação que impõe um preço único a medicamentos sujeitos a receita médica.</w:t>
      </w:r>
    </w:p>
    <w:p w14:paraId="4CBD42F3" w14:textId="1B49B2BD" w:rsidR="00892828" w:rsidRDefault="00FD477E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Tendo presente estes elementos, refira (i) </w:t>
      </w:r>
      <w:r>
        <w:rPr>
          <w:rFonts w:asciiTheme="minorHAnsi" w:hAnsiTheme="minorHAnsi"/>
          <w:i/>
        </w:rPr>
        <w:t>q</w:t>
      </w:r>
      <w:r w:rsidR="00724B91" w:rsidRPr="00B75B00">
        <w:rPr>
          <w:rFonts w:asciiTheme="minorHAnsi" w:hAnsiTheme="minorHAnsi"/>
          <w:i/>
        </w:rPr>
        <w:t>uais</w:t>
      </w:r>
      <w:r w:rsidR="00724B91">
        <w:rPr>
          <w:rFonts w:asciiTheme="minorHAnsi" w:hAnsiTheme="minorHAnsi"/>
        </w:rPr>
        <w:t xml:space="preserve"> as liberdades de circulação que estas medidas poderão afetar </w:t>
      </w:r>
      <w:r w:rsidR="00B75B00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ii</w:t>
      </w:r>
      <w:proofErr w:type="spellEnd"/>
      <w:r>
        <w:rPr>
          <w:rFonts w:asciiTheme="minorHAnsi" w:hAnsiTheme="minorHAnsi"/>
        </w:rPr>
        <w:t xml:space="preserve">) </w:t>
      </w:r>
      <w:r w:rsidR="00B75B00">
        <w:rPr>
          <w:rFonts w:asciiTheme="minorHAnsi" w:hAnsiTheme="minorHAnsi"/>
          <w:i/>
        </w:rPr>
        <w:t xml:space="preserve">de que modo </w:t>
      </w:r>
      <w:r w:rsidR="00B75B00">
        <w:rPr>
          <w:rFonts w:asciiTheme="minorHAnsi" w:hAnsiTheme="minorHAnsi"/>
        </w:rPr>
        <w:t>o podem fazer?</w:t>
      </w:r>
    </w:p>
    <w:p w14:paraId="17193A12" w14:textId="77777777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DD58773" w14:textId="77777777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68146AEF" w14:textId="77777777" w:rsidR="00836AB1" w:rsidRDefault="00836AB1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3BA287C" w14:textId="14F4EF83" w:rsidR="00B75B00" w:rsidRDefault="00FD477E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Grupo B (5</w:t>
      </w:r>
      <w:r w:rsidR="00B75B00">
        <w:rPr>
          <w:rFonts w:asciiTheme="minorHAnsi" w:hAnsiTheme="minorHAnsi"/>
          <w:b/>
        </w:rPr>
        <w:t xml:space="preserve"> valores)</w:t>
      </w:r>
    </w:p>
    <w:p w14:paraId="13D03D73" w14:textId="47FDA0F3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6D233FA" w14:textId="651FC1AD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Questão 1 (</w:t>
      </w:r>
      <w:r w:rsidR="00FD477E">
        <w:rPr>
          <w:rFonts w:asciiTheme="minorHAnsi" w:hAnsiTheme="minorHAnsi"/>
          <w:u w:val="single"/>
        </w:rPr>
        <w:t>2 valores</w:t>
      </w:r>
      <w:r>
        <w:rPr>
          <w:rFonts w:asciiTheme="minorHAnsi" w:hAnsiTheme="minorHAnsi"/>
          <w:u w:val="single"/>
        </w:rPr>
        <w:t>)</w:t>
      </w:r>
    </w:p>
    <w:p w14:paraId="78FB3499" w14:textId="2AE73AB8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certo sentido pode dizer-se que todas as Constituições portuguesas incluíram uma Constituição económica. Concorda com a afirmação? Justifique a sua resposta.</w:t>
      </w:r>
    </w:p>
    <w:p w14:paraId="02845CC2" w14:textId="77777777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7234A84" w14:textId="0E55EC62" w:rsidR="00B75B00" w:rsidRPr="00B75B00" w:rsidRDefault="00B75B00" w:rsidP="00B75B00">
      <w:pPr>
        <w:pStyle w:val="Default"/>
        <w:spacing w:line="276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Questão 2 (</w:t>
      </w:r>
      <w:r w:rsidR="00FD477E">
        <w:rPr>
          <w:rFonts w:asciiTheme="minorHAnsi" w:hAnsiTheme="minorHAnsi"/>
          <w:u w:val="single"/>
        </w:rPr>
        <w:t>2 valores</w:t>
      </w:r>
      <w:r>
        <w:rPr>
          <w:rFonts w:asciiTheme="minorHAnsi" w:hAnsiTheme="minorHAnsi"/>
          <w:u w:val="single"/>
        </w:rPr>
        <w:t>)</w:t>
      </w:r>
    </w:p>
    <w:p w14:paraId="581DB7DC" w14:textId="5C9F00CD" w:rsidR="00B75B00" w:rsidRDefault="00B75B00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segunda revisão constitucional (1989) foi a que teve maior impacto na Constituição económica portuguesa. Concorda com a afirmação? Justifique a sua resposta</w:t>
      </w:r>
      <w:r w:rsidR="00FD477E">
        <w:rPr>
          <w:rFonts w:asciiTheme="minorHAnsi" w:hAnsiTheme="minorHAnsi"/>
        </w:rPr>
        <w:t>.</w:t>
      </w:r>
    </w:p>
    <w:p w14:paraId="13952AFE" w14:textId="77777777" w:rsidR="00FD477E" w:rsidRDefault="00FD477E" w:rsidP="00BE076F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5AEEB0F5" w14:textId="115A199C" w:rsidR="00FD477E" w:rsidRDefault="00FD477E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Questão 3 (3 valores)</w:t>
      </w:r>
    </w:p>
    <w:p w14:paraId="62F007EE" w14:textId="7CDA7DF9" w:rsidR="00FD477E" w:rsidRPr="00FD477E" w:rsidRDefault="00FD477E" w:rsidP="00BE076F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 a relação entre </w:t>
      </w:r>
      <w:r>
        <w:rPr>
          <w:rFonts w:asciiTheme="minorHAnsi" w:hAnsiTheme="minorHAnsi"/>
          <w:i/>
        </w:rPr>
        <w:t xml:space="preserve">regulação económica 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i/>
        </w:rPr>
        <w:t>falhas de mercado</w:t>
      </w:r>
      <w:r>
        <w:rPr>
          <w:rFonts w:asciiTheme="minorHAnsi" w:hAnsiTheme="minorHAnsi"/>
        </w:rPr>
        <w:t>?</w:t>
      </w:r>
    </w:p>
    <w:sectPr w:rsidR="00FD477E" w:rsidRPr="00FD477E" w:rsidSect="007460FD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5AE1" w14:textId="77777777" w:rsidR="00FD477E" w:rsidRDefault="00FD477E">
      <w:r>
        <w:separator/>
      </w:r>
    </w:p>
  </w:endnote>
  <w:endnote w:type="continuationSeparator" w:id="0">
    <w:p w14:paraId="0F1EA983" w14:textId="77777777" w:rsidR="00FD477E" w:rsidRDefault="00FD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0190" w14:textId="77777777" w:rsidR="00FD477E" w:rsidRDefault="00FD477E" w:rsidP="0074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DB79F" w14:textId="77777777" w:rsidR="00FD477E" w:rsidRDefault="00FD477E" w:rsidP="00C74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B696" w14:textId="77777777" w:rsidR="00836AB1" w:rsidRDefault="00836AB1" w:rsidP="00746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0F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C2C464" w14:textId="79F4EF27" w:rsidR="00FD477E" w:rsidRDefault="00FD477E" w:rsidP="007460F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6085DD7" w14:textId="600E4597" w:rsidR="00FD477E" w:rsidRDefault="00FD477E" w:rsidP="00C74ED9">
    <w:pPr>
      <w:pStyle w:val="Footer"/>
      <w:ind w:right="360"/>
      <w:jc w:val="right"/>
    </w:pPr>
  </w:p>
  <w:p w14:paraId="390CDDB3" w14:textId="1E0020C6" w:rsidR="00FD477E" w:rsidRDefault="00FD477E" w:rsidP="006F31C3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D6D3" w14:textId="77777777" w:rsidR="00FD477E" w:rsidRDefault="00FD477E">
      <w:r>
        <w:separator/>
      </w:r>
    </w:p>
  </w:footnote>
  <w:footnote w:type="continuationSeparator" w:id="0">
    <w:p w14:paraId="531C3DC9" w14:textId="77777777" w:rsidR="00FD477E" w:rsidRDefault="00FD47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DD5E7" w14:textId="5C3EA60C" w:rsidR="00FD477E" w:rsidRDefault="00FD477E" w:rsidP="006F31C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0B38013" wp14:editId="02AA59AB">
          <wp:extent cx="2095500" cy="939800"/>
          <wp:effectExtent l="0" t="0" r="12700" b="0"/>
          <wp:docPr id="1" name="Picture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27997"/>
    <w:multiLevelType w:val="hybridMultilevel"/>
    <w:tmpl w:val="6E622002"/>
    <w:lvl w:ilvl="0" w:tplc="1526A6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7F1"/>
    <w:multiLevelType w:val="hybridMultilevel"/>
    <w:tmpl w:val="291207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47213"/>
    <w:multiLevelType w:val="hybridMultilevel"/>
    <w:tmpl w:val="3D8EE852"/>
    <w:lvl w:ilvl="0" w:tplc="EDE287B8">
      <w:start w:val="1"/>
      <w:numFmt w:val="lowerLetter"/>
      <w:lvlText w:val="%1)"/>
      <w:lvlJc w:val="left"/>
      <w:pPr>
        <w:ind w:left="1748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E12C9"/>
    <w:multiLevelType w:val="hybridMultilevel"/>
    <w:tmpl w:val="A05ED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1D4"/>
    <w:multiLevelType w:val="hybridMultilevel"/>
    <w:tmpl w:val="DDC201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3A17"/>
    <w:multiLevelType w:val="hybridMultilevel"/>
    <w:tmpl w:val="512443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222"/>
    <w:multiLevelType w:val="multilevel"/>
    <w:tmpl w:val="C69E29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5815D4E"/>
    <w:multiLevelType w:val="hybridMultilevel"/>
    <w:tmpl w:val="172C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D6333"/>
    <w:multiLevelType w:val="hybridMultilevel"/>
    <w:tmpl w:val="072EC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7723"/>
    <w:multiLevelType w:val="hybridMultilevel"/>
    <w:tmpl w:val="B128F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41B"/>
    <w:multiLevelType w:val="hybridMultilevel"/>
    <w:tmpl w:val="1538792E"/>
    <w:lvl w:ilvl="0" w:tplc="7CA084E6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>
    <w:nsid w:val="441E679D"/>
    <w:multiLevelType w:val="hybridMultilevel"/>
    <w:tmpl w:val="F6E2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7E1B"/>
    <w:multiLevelType w:val="hybridMultilevel"/>
    <w:tmpl w:val="2B78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3A31"/>
    <w:multiLevelType w:val="hybridMultilevel"/>
    <w:tmpl w:val="5268D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029A2"/>
    <w:multiLevelType w:val="hybridMultilevel"/>
    <w:tmpl w:val="0B6EE22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173DF"/>
    <w:multiLevelType w:val="hybridMultilevel"/>
    <w:tmpl w:val="1E3C5508"/>
    <w:lvl w:ilvl="0" w:tplc="06C869F4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>
    <w:nsid w:val="59EC0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212550"/>
    <w:multiLevelType w:val="hybridMultilevel"/>
    <w:tmpl w:val="5E0EB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7CED"/>
    <w:multiLevelType w:val="hybridMultilevel"/>
    <w:tmpl w:val="1B60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B0D0A"/>
    <w:multiLevelType w:val="hybridMultilevel"/>
    <w:tmpl w:val="D1ECD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57CF1"/>
    <w:multiLevelType w:val="hybridMultilevel"/>
    <w:tmpl w:val="FB92C672"/>
    <w:lvl w:ilvl="0" w:tplc="B798E8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2B4A"/>
    <w:multiLevelType w:val="hybridMultilevel"/>
    <w:tmpl w:val="C7C69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82453"/>
    <w:multiLevelType w:val="hybridMultilevel"/>
    <w:tmpl w:val="A2BC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27AA8"/>
    <w:multiLevelType w:val="hybridMultilevel"/>
    <w:tmpl w:val="AD869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C0D37"/>
    <w:multiLevelType w:val="multilevel"/>
    <w:tmpl w:val="3CA8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7"/>
  </w:num>
  <w:num w:numId="5">
    <w:abstractNumId w:val="18"/>
  </w:num>
  <w:num w:numId="6">
    <w:abstractNumId w:val="13"/>
  </w:num>
  <w:num w:numId="7">
    <w:abstractNumId w:val="26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6"/>
  </w:num>
  <w:num w:numId="14">
    <w:abstractNumId w:val="5"/>
  </w:num>
  <w:num w:numId="15">
    <w:abstractNumId w:val="24"/>
  </w:num>
  <w:num w:numId="16">
    <w:abstractNumId w:val="9"/>
  </w:num>
  <w:num w:numId="17">
    <w:abstractNumId w:val="20"/>
  </w:num>
  <w:num w:numId="18">
    <w:abstractNumId w:val="14"/>
  </w:num>
  <w:num w:numId="19">
    <w:abstractNumId w:val="2"/>
  </w:num>
  <w:num w:numId="20">
    <w:abstractNumId w:val="3"/>
  </w:num>
  <w:num w:numId="21">
    <w:abstractNumId w:val="19"/>
  </w:num>
  <w:num w:numId="22">
    <w:abstractNumId w:val="21"/>
  </w:num>
  <w:num w:numId="23">
    <w:abstractNumId w:val="23"/>
  </w:num>
  <w:num w:numId="24">
    <w:abstractNumId w:val="25"/>
  </w:num>
  <w:num w:numId="25">
    <w:abstractNumId w:val="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3"/>
    <w:rsid w:val="0000587A"/>
    <w:rsid w:val="00010DB5"/>
    <w:rsid w:val="00022A9E"/>
    <w:rsid w:val="000242FB"/>
    <w:rsid w:val="00036787"/>
    <w:rsid w:val="0005468F"/>
    <w:rsid w:val="00073F02"/>
    <w:rsid w:val="0009773D"/>
    <w:rsid w:val="000B0025"/>
    <w:rsid w:val="000D30AE"/>
    <w:rsid w:val="000F0CA2"/>
    <w:rsid w:val="00111D6B"/>
    <w:rsid w:val="00114680"/>
    <w:rsid w:val="00126AB6"/>
    <w:rsid w:val="00160D80"/>
    <w:rsid w:val="00177BBC"/>
    <w:rsid w:val="001804BF"/>
    <w:rsid w:val="001C08A3"/>
    <w:rsid w:val="001C2BD2"/>
    <w:rsid w:val="001C724A"/>
    <w:rsid w:val="001D30CD"/>
    <w:rsid w:val="001E46D7"/>
    <w:rsid w:val="00216399"/>
    <w:rsid w:val="00242D8D"/>
    <w:rsid w:val="00251530"/>
    <w:rsid w:val="00272D88"/>
    <w:rsid w:val="00283EC9"/>
    <w:rsid w:val="00290B7A"/>
    <w:rsid w:val="002B44F1"/>
    <w:rsid w:val="002C2F60"/>
    <w:rsid w:val="002C45DD"/>
    <w:rsid w:val="002E2D51"/>
    <w:rsid w:val="002E3260"/>
    <w:rsid w:val="003056F0"/>
    <w:rsid w:val="003203B1"/>
    <w:rsid w:val="00332C9C"/>
    <w:rsid w:val="00345441"/>
    <w:rsid w:val="00354D4C"/>
    <w:rsid w:val="00363025"/>
    <w:rsid w:val="00366B34"/>
    <w:rsid w:val="003A101D"/>
    <w:rsid w:val="003A1656"/>
    <w:rsid w:val="003C2640"/>
    <w:rsid w:val="003C6756"/>
    <w:rsid w:val="003D6BEE"/>
    <w:rsid w:val="003E32C2"/>
    <w:rsid w:val="003F4F51"/>
    <w:rsid w:val="003F59D6"/>
    <w:rsid w:val="00402FAC"/>
    <w:rsid w:val="00422FEC"/>
    <w:rsid w:val="00425D90"/>
    <w:rsid w:val="00426A60"/>
    <w:rsid w:val="00453626"/>
    <w:rsid w:val="0045525A"/>
    <w:rsid w:val="00477746"/>
    <w:rsid w:val="00482AD7"/>
    <w:rsid w:val="00490C98"/>
    <w:rsid w:val="004A1F60"/>
    <w:rsid w:val="004B6148"/>
    <w:rsid w:val="004D5764"/>
    <w:rsid w:val="004E72BC"/>
    <w:rsid w:val="00505F6B"/>
    <w:rsid w:val="005070CA"/>
    <w:rsid w:val="00523E19"/>
    <w:rsid w:val="00542939"/>
    <w:rsid w:val="00584A78"/>
    <w:rsid w:val="005A06AB"/>
    <w:rsid w:val="005A2197"/>
    <w:rsid w:val="005A3A9D"/>
    <w:rsid w:val="005B1B1B"/>
    <w:rsid w:val="005C64D6"/>
    <w:rsid w:val="00604EEE"/>
    <w:rsid w:val="0061783F"/>
    <w:rsid w:val="00622C83"/>
    <w:rsid w:val="00624959"/>
    <w:rsid w:val="00630A5A"/>
    <w:rsid w:val="00631EB2"/>
    <w:rsid w:val="00632045"/>
    <w:rsid w:val="006360FB"/>
    <w:rsid w:val="00653894"/>
    <w:rsid w:val="00655746"/>
    <w:rsid w:val="0068105C"/>
    <w:rsid w:val="00681152"/>
    <w:rsid w:val="00690848"/>
    <w:rsid w:val="006A16AA"/>
    <w:rsid w:val="006A756E"/>
    <w:rsid w:val="006E2C85"/>
    <w:rsid w:val="006E69F2"/>
    <w:rsid w:val="006F31C3"/>
    <w:rsid w:val="00700DB8"/>
    <w:rsid w:val="00717729"/>
    <w:rsid w:val="00724B91"/>
    <w:rsid w:val="007415A5"/>
    <w:rsid w:val="007460FD"/>
    <w:rsid w:val="00752382"/>
    <w:rsid w:val="00755F87"/>
    <w:rsid w:val="007D3ED0"/>
    <w:rsid w:val="007D68AB"/>
    <w:rsid w:val="007D7A0A"/>
    <w:rsid w:val="007E5ED3"/>
    <w:rsid w:val="007E6506"/>
    <w:rsid w:val="00824608"/>
    <w:rsid w:val="00836AB1"/>
    <w:rsid w:val="008444E9"/>
    <w:rsid w:val="00872045"/>
    <w:rsid w:val="00880BDF"/>
    <w:rsid w:val="00883A05"/>
    <w:rsid w:val="0088759A"/>
    <w:rsid w:val="00892828"/>
    <w:rsid w:val="008941DA"/>
    <w:rsid w:val="008A6DD9"/>
    <w:rsid w:val="008D031B"/>
    <w:rsid w:val="008E19C7"/>
    <w:rsid w:val="008E30D6"/>
    <w:rsid w:val="008F34A0"/>
    <w:rsid w:val="008F5317"/>
    <w:rsid w:val="00905415"/>
    <w:rsid w:val="00923447"/>
    <w:rsid w:val="00946A68"/>
    <w:rsid w:val="00974D26"/>
    <w:rsid w:val="009A3371"/>
    <w:rsid w:val="009E3105"/>
    <w:rsid w:val="009F31AD"/>
    <w:rsid w:val="00A04DB4"/>
    <w:rsid w:val="00A423BD"/>
    <w:rsid w:val="00A77CA4"/>
    <w:rsid w:val="00A81A93"/>
    <w:rsid w:val="00AB2D39"/>
    <w:rsid w:val="00B53042"/>
    <w:rsid w:val="00B55DA3"/>
    <w:rsid w:val="00B62991"/>
    <w:rsid w:val="00B75B00"/>
    <w:rsid w:val="00BA48E6"/>
    <w:rsid w:val="00BA7D28"/>
    <w:rsid w:val="00BC6625"/>
    <w:rsid w:val="00BD0836"/>
    <w:rsid w:val="00BD7234"/>
    <w:rsid w:val="00BD7E03"/>
    <w:rsid w:val="00BE0185"/>
    <w:rsid w:val="00BE076F"/>
    <w:rsid w:val="00BE6D03"/>
    <w:rsid w:val="00BF74D4"/>
    <w:rsid w:val="00C120B8"/>
    <w:rsid w:val="00C168D2"/>
    <w:rsid w:val="00C17F2D"/>
    <w:rsid w:val="00C25344"/>
    <w:rsid w:val="00C31CCE"/>
    <w:rsid w:val="00C54145"/>
    <w:rsid w:val="00C6457A"/>
    <w:rsid w:val="00C74ED9"/>
    <w:rsid w:val="00C75CE3"/>
    <w:rsid w:val="00C764E4"/>
    <w:rsid w:val="00C97DE7"/>
    <w:rsid w:val="00CA22F3"/>
    <w:rsid w:val="00CF2295"/>
    <w:rsid w:val="00CF3BE8"/>
    <w:rsid w:val="00D03005"/>
    <w:rsid w:val="00DA13C9"/>
    <w:rsid w:val="00DA18ED"/>
    <w:rsid w:val="00DC0CDB"/>
    <w:rsid w:val="00DC70A3"/>
    <w:rsid w:val="00DD2A3C"/>
    <w:rsid w:val="00DD44C7"/>
    <w:rsid w:val="00DE0C54"/>
    <w:rsid w:val="00DE2596"/>
    <w:rsid w:val="00DF51CF"/>
    <w:rsid w:val="00DF6EE5"/>
    <w:rsid w:val="00E31820"/>
    <w:rsid w:val="00E379C9"/>
    <w:rsid w:val="00E42FF6"/>
    <w:rsid w:val="00E77688"/>
    <w:rsid w:val="00E80ACE"/>
    <w:rsid w:val="00E9594C"/>
    <w:rsid w:val="00ED58EB"/>
    <w:rsid w:val="00ED73F2"/>
    <w:rsid w:val="00F03277"/>
    <w:rsid w:val="00F2248D"/>
    <w:rsid w:val="00F32D1A"/>
    <w:rsid w:val="00F3409A"/>
    <w:rsid w:val="00F71CB2"/>
    <w:rsid w:val="00F7738C"/>
    <w:rsid w:val="00F77C3F"/>
    <w:rsid w:val="00F85DEE"/>
    <w:rsid w:val="00FB442C"/>
    <w:rsid w:val="00FB7F64"/>
    <w:rsid w:val="00FC12AF"/>
    <w:rsid w:val="00FD477E"/>
    <w:rsid w:val="00FE406F"/>
    <w:rsid w:val="00FF14C1"/>
    <w:rsid w:val="00FF22A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D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F31C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FootnoteText">
    <w:name w:val="footnote text"/>
    <w:basedOn w:val="Normal"/>
    <w:link w:val="FootnoteTextChar"/>
    <w:rsid w:val="00883A05"/>
  </w:style>
  <w:style w:type="character" w:customStyle="1" w:styleId="FootnoteTextChar">
    <w:name w:val="Footnote Text Char"/>
    <w:basedOn w:val="DefaultParagraphFont"/>
    <w:link w:val="FootnoteText"/>
    <w:rsid w:val="00883A05"/>
    <w:rPr>
      <w:sz w:val="24"/>
      <w:szCs w:val="24"/>
      <w:lang w:eastAsia="pt-PT"/>
    </w:rPr>
  </w:style>
  <w:style w:type="character" w:styleId="FootnoteReference">
    <w:name w:val="footnote reference"/>
    <w:basedOn w:val="DefaultParagraphFont"/>
    <w:rsid w:val="00883A05"/>
    <w:rPr>
      <w:vertAlign w:val="superscript"/>
    </w:rPr>
  </w:style>
  <w:style w:type="paragraph" w:styleId="BodyText">
    <w:name w:val="Body Text"/>
    <w:basedOn w:val="Normal"/>
    <w:link w:val="BodyTextCha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22A9E"/>
    <w:rPr>
      <w:sz w:val="24"/>
      <w:szCs w:val="24"/>
      <w:lang w:eastAsia="pt-PT"/>
    </w:rPr>
  </w:style>
  <w:style w:type="character" w:styleId="PageNumber">
    <w:name w:val="page number"/>
    <w:basedOn w:val="DefaultParagraphFont"/>
    <w:semiHidden/>
    <w:unhideWhenUsed/>
    <w:rsid w:val="00C74ED9"/>
  </w:style>
  <w:style w:type="paragraph" w:styleId="Subtitle">
    <w:name w:val="Subtitle"/>
    <w:basedOn w:val="Normal"/>
    <w:next w:val="Normal"/>
    <w:link w:val="SubtitleChar"/>
    <w:uiPriority w:val="11"/>
    <w:qFormat/>
    <w:rsid w:val="00F773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7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01pointnumerotealtn">
    <w:name w:val="c01pointnumerotealtn"/>
    <w:basedOn w:val="Normal"/>
    <w:rsid w:val="00A04DB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04DB4"/>
  </w:style>
  <w:style w:type="paragraph" w:customStyle="1" w:styleId="c09marge0avecretrait">
    <w:name w:val="c09marge0avecretrait"/>
    <w:basedOn w:val="Normal"/>
    <w:rsid w:val="00BE076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F31C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FootnoteText">
    <w:name w:val="footnote text"/>
    <w:basedOn w:val="Normal"/>
    <w:link w:val="FootnoteTextChar"/>
    <w:rsid w:val="00883A05"/>
  </w:style>
  <w:style w:type="character" w:customStyle="1" w:styleId="FootnoteTextChar">
    <w:name w:val="Footnote Text Char"/>
    <w:basedOn w:val="DefaultParagraphFont"/>
    <w:link w:val="FootnoteText"/>
    <w:rsid w:val="00883A05"/>
    <w:rPr>
      <w:sz w:val="24"/>
      <w:szCs w:val="24"/>
      <w:lang w:eastAsia="pt-PT"/>
    </w:rPr>
  </w:style>
  <w:style w:type="character" w:styleId="FootnoteReference">
    <w:name w:val="footnote reference"/>
    <w:basedOn w:val="DefaultParagraphFont"/>
    <w:rsid w:val="00883A05"/>
    <w:rPr>
      <w:vertAlign w:val="superscript"/>
    </w:rPr>
  </w:style>
  <w:style w:type="paragraph" w:styleId="BodyText">
    <w:name w:val="Body Text"/>
    <w:basedOn w:val="Normal"/>
    <w:link w:val="BodyTextCha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22A9E"/>
    <w:rPr>
      <w:sz w:val="24"/>
      <w:szCs w:val="24"/>
      <w:lang w:eastAsia="pt-PT"/>
    </w:rPr>
  </w:style>
  <w:style w:type="character" w:styleId="PageNumber">
    <w:name w:val="page number"/>
    <w:basedOn w:val="DefaultParagraphFont"/>
    <w:semiHidden/>
    <w:unhideWhenUsed/>
    <w:rsid w:val="00C74ED9"/>
  </w:style>
  <w:style w:type="paragraph" w:styleId="Subtitle">
    <w:name w:val="Subtitle"/>
    <w:basedOn w:val="Normal"/>
    <w:next w:val="Normal"/>
    <w:link w:val="SubtitleChar"/>
    <w:uiPriority w:val="11"/>
    <w:qFormat/>
    <w:rsid w:val="00F773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7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01pointnumerotealtn">
    <w:name w:val="c01pointnumerotealtn"/>
    <w:basedOn w:val="Normal"/>
    <w:rsid w:val="00A04DB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A04DB4"/>
  </w:style>
  <w:style w:type="paragraph" w:customStyle="1" w:styleId="c09marge0avecretrait">
    <w:name w:val="c09marge0avecretrait"/>
    <w:basedOn w:val="Normal"/>
    <w:rsid w:val="00BE076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43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1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645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216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431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0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22E2-CE04-9B48-9609-1828CE3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FDUNL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Manso</dc:creator>
  <cp:lastModifiedBy>Lúcio Féteira</cp:lastModifiedBy>
  <cp:revision>2</cp:revision>
  <cp:lastPrinted>2006-10-03T09:13:00Z</cp:lastPrinted>
  <dcterms:created xsi:type="dcterms:W3CDTF">2017-06-04T18:56:00Z</dcterms:created>
  <dcterms:modified xsi:type="dcterms:W3CDTF">2017-06-04T18:56:00Z</dcterms:modified>
</cp:coreProperties>
</file>