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F409" w14:textId="77777777" w:rsidR="00C25344" w:rsidRPr="00A423BD" w:rsidRDefault="00C25344" w:rsidP="00290B7A">
      <w:pPr>
        <w:spacing w:line="276" w:lineRule="auto"/>
        <w:jc w:val="both"/>
        <w:rPr>
          <w:rFonts w:asciiTheme="minorHAnsi" w:hAnsiTheme="minorHAnsi"/>
        </w:rPr>
      </w:pPr>
    </w:p>
    <w:p w14:paraId="2721ED07" w14:textId="3F518B84" w:rsidR="00883A05" w:rsidRPr="00A423BD" w:rsidRDefault="00505F6B" w:rsidP="00290B7A">
      <w:pPr>
        <w:spacing w:line="276" w:lineRule="auto"/>
        <w:jc w:val="center"/>
        <w:rPr>
          <w:rFonts w:asciiTheme="minorHAnsi" w:hAnsiTheme="minorHAnsi"/>
          <w:b/>
        </w:rPr>
      </w:pPr>
      <w:r w:rsidRPr="00A423BD">
        <w:rPr>
          <w:rFonts w:asciiTheme="minorHAnsi" w:hAnsiTheme="minorHAnsi"/>
          <w:b/>
        </w:rPr>
        <w:t>Direito</w:t>
      </w:r>
      <w:r w:rsidR="007E5ED3" w:rsidRPr="00A423BD">
        <w:rPr>
          <w:rFonts w:asciiTheme="minorHAnsi" w:hAnsiTheme="minorHAnsi"/>
          <w:b/>
        </w:rPr>
        <w:t xml:space="preserve"> da Economia</w:t>
      </w:r>
      <w:r w:rsidR="003F4F51">
        <w:rPr>
          <w:rFonts w:asciiTheme="minorHAnsi" w:hAnsiTheme="minorHAnsi"/>
          <w:b/>
        </w:rPr>
        <w:t xml:space="preserve"> (LM</w:t>
      </w:r>
      <w:r w:rsidR="00BC6625" w:rsidRPr="00A423BD">
        <w:rPr>
          <w:rFonts w:asciiTheme="minorHAnsi" w:hAnsiTheme="minorHAnsi"/>
          <w:b/>
        </w:rPr>
        <w:t>10</w:t>
      </w:r>
      <w:r w:rsidR="003F4F51">
        <w:rPr>
          <w:rFonts w:asciiTheme="minorHAnsi" w:hAnsiTheme="minorHAnsi"/>
          <w:b/>
        </w:rPr>
        <w:t>5</w:t>
      </w:r>
      <w:r w:rsidR="00BC6625" w:rsidRPr="00A423BD">
        <w:rPr>
          <w:rFonts w:asciiTheme="minorHAnsi" w:hAnsiTheme="minorHAnsi"/>
          <w:b/>
        </w:rPr>
        <w:t>)</w:t>
      </w:r>
    </w:p>
    <w:p w14:paraId="15022B07" w14:textId="23C86B1B" w:rsidR="00BC6625" w:rsidRPr="00A423BD" w:rsidRDefault="00BC6625" w:rsidP="00290B7A">
      <w:pPr>
        <w:spacing w:line="276" w:lineRule="auto"/>
        <w:jc w:val="center"/>
        <w:rPr>
          <w:rFonts w:asciiTheme="minorHAnsi" w:hAnsiTheme="minorHAnsi"/>
          <w:b/>
        </w:rPr>
      </w:pPr>
      <w:r w:rsidRPr="00A423BD">
        <w:rPr>
          <w:rFonts w:asciiTheme="minorHAnsi" w:hAnsiTheme="minorHAnsi"/>
          <w:b/>
        </w:rPr>
        <w:t xml:space="preserve">Ano académico 2014/2015 – </w:t>
      </w:r>
      <w:r w:rsidR="00A84750">
        <w:rPr>
          <w:rFonts w:asciiTheme="minorHAnsi" w:hAnsiTheme="minorHAnsi"/>
          <w:b/>
        </w:rPr>
        <w:t>Época especial</w:t>
      </w:r>
    </w:p>
    <w:p w14:paraId="003BE1AB" w14:textId="144D00CA" w:rsidR="00BC6625" w:rsidRPr="00A423BD" w:rsidRDefault="00BC6625" w:rsidP="00290B7A">
      <w:pPr>
        <w:spacing w:line="276" w:lineRule="auto"/>
        <w:jc w:val="center"/>
        <w:rPr>
          <w:rFonts w:asciiTheme="minorHAnsi" w:hAnsiTheme="minorHAnsi"/>
          <w:b/>
        </w:rPr>
      </w:pPr>
      <w:r w:rsidRPr="00A423BD">
        <w:rPr>
          <w:rFonts w:asciiTheme="minorHAnsi" w:hAnsiTheme="minorHAnsi"/>
          <w:b/>
        </w:rPr>
        <w:t>Exame final</w:t>
      </w:r>
    </w:p>
    <w:p w14:paraId="64548123" w14:textId="77777777" w:rsidR="00883A05" w:rsidRPr="00A423BD" w:rsidRDefault="00883A05" w:rsidP="00BC6625">
      <w:pPr>
        <w:spacing w:line="276" w:lineRule="auto"/>
        <w:rPr>
          <w:rFonts w:asciiTheme="minorHAnsi" w:hAnsiTheme="minorHAnsi"/>
        </w:rPr>
      </w:pPr>
    </w:p>
    <w:p w14:paraId="7D86B530" w14:textId="6214CE08" w:rsidR="00BC6625" w:rsidRPr="00A423BD" w:rsidRDefault="00BC6625" w:rsidP="00BC6625">
      <w:pPr>
        <w:spacing w:line="276" w:lineRule="auto"/>
        <w:rPr>
          <w:rFonts w:asciiTheme="minorHAnsi" w:hAnsiTheme="minorHAnsi"/>
          <w:b/>
          <w:u w:val="single"/>
        </w:rPr>
      </w:pPr>
      <w:r w:rsidRPr="00A423BD">
        <w:rPr>
          <w:rFonts w:asciiTheme="minorHAnsi" w:hAnsiTheme="minorHAnsi"/>
          <w:b/>
          <w:u w:val="single"/>
        </w:rPr>
        <w:t>Instruções:</w:t>
      </w:r>
    </w:p>
    <w:p w14:paraId="1B318023" w14:textId="5D5C746C" w:rsidR="00BC6625" w:rsidRPr="00A423BD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 xml:space="preserve">O exame tem a duração total de 90 (noventa) minutos </w:t>
      </w:r>
      <w:r w:rsidRPr="00A423BD">
        <w:rPr>
          <w:rFonts w:asciiTheme="minorHAnsi" w:hAnsiTheme="minorHAnsi"/>
          <w:i/>
        </w:rPr>
        <w:t>improrrogáveis</w:t>
      </w:r>
      <w:r w:rsidRPr="00A423BD">
        <w:rPr>
          <w:rFonts w:asciiTheme="minorHAnsi" w:hAnsiTheme="minorHAnsi"/>
        </w:rPr>
        <w:t xml:space="preserve"> </w:t>
      </w:r>
    </w:p>
    <w:p w14:paraId="51AD9092" w14:textId="696A7844" w:rsidR="00BC6625" w:rsidRPr="00A423BD" w:rsidRDefault="00E7618D" w:rsidP="00BC662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exame é composto</w:t>
      </w:r>
      <w:r w:rsidR="00BC6625" w:rsidRPr="00A423BD">
        <w:rPr>
          <w:rFonts w:asciiTheme="minorHAnsi" w:hAnsiTheme="minorHAnsi"/>
        </w:rPr>
        <w:t xml:space="preserve"> </w:t>
      </w:r>
      <w:r w:rsidR="00C16DCE">
        <w:rPr>
          <w:rFonts w:asciiTheme="minorHAnsi" w:hAnsiTheme="minorHAnsi"/>
        </w:rPr>
        <w:t>quatro perguntas</w:t>
      </w:r>
      <w:r>
        <w:rPr>
          <w:rFonts w:asciiTheme="minorHAnsi" w:hAnsiTheme="minorHAnsi"/>
        </w:rPr>
        <w:t>, divididas por dois grupos</w:t>
      </w:r>
      <w:r w:rsidR="009A3371" w:rsidRPr="00A423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aos</w:t>
      </w:r>
      <w:r w:rsidR="009A3371" w:rsidRPr="00A423BD">
        <w:rPr>
          <w:rFonts w:asciiTheme="minorHAnsi" w:hAnsiTheme="minorHAnsi"/>
        </w:rPr>
        <w:t xml:space="preserve"> quais corresponde a pontuação total de 20 (vinte) valores.</w:t>
      </w:r>
    </w:p>
    <w:p w14:paraId="772B40E6" w14:textId="3D5DE0FA" w:rsidR="003F4F51" w:rsidRPr="00E7618D" w:rsidRDefault="00E7618D" w:rsidP="00E7618D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as perguntas devem ser respondidas com caligrafia </w:t>
      </w:r>
      <w:r>
        <w:rPr>
          <w:rFonts w:asciiTheme="minorHAnsi" w:hAnsiTheme="minorHAnsi"/>
          <w:i/>
        </w:rPr>
        <w:t>legível</w:t>
      </w:r>
      <w:r>
        <w:rPr>
          <w:rFonts w:asciiTheme="minorHAnsi" w:hAnsiTheme="minorHAnsi"/>
        </w:rPr>
        <w:t xml:space="preserve">, não devendo cada resposta ultrapassar o limite de </w:t>
      </w:r>
      <w:r>
        <w:rPr>
          <w:rFonts w:asciiTheme="minorHAnsi" w:hAnsiTheme="minorHAnsi"/>
          <w:u w:val="single"/>
        </w:rPr>
        <w:t>uma pá</w:t>
      </w:r>
      <w:bookmarkStart w:id="0" w:name="_GoBack"/>
      <w:bookmarkEnd w:id="0"/>
      <w:r>
        <w:rPr>
          <w:rFonts w:asciiTheme="minorHAnsi" w:hAnsiTheme="minorHAnsi"/>
          <w:u w:val="single"/>
        </w:rPr>
        <w:t>gina</w:t>
      </w:r>
      <w:r>
        <w:rPr>
          <w:rFonts w:asciiTheme="minorHAnsi" w:hAnsiTheme="minorHAnsi"/>
        </w:rPr>
        <w:t xml:space="preserve">. </w:t>
      </w:r>
      <w:r w:rsidR="009A3371" w:rsidRPr="00A423BD">
        <w:rPr>
          <w:rFonts w:asciiTheme="minorHAnsi" w:hAnsiTheme="minorHAnsi"/>
        </w:rPr>
        <w:t>O texto que ultrapassar o limite referido não será levado em conta para efeitos de avaliação.</w:t>
      </w:r>
    </w:p>
    <w:p w14:paraId="2A135CA0" w14:textId="77777777" w:rsidR="00BC6625" w:rsidRPr="00A423BD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 xml:space="preserve">No decurso do exame está autorizada a consulta de apontamentos, fotocópias e livros </w:t>
      </w:r>
      <w:r w:rsidRPr="00A423BD">
        <w:rPr>
          <w:rFonts w:asciiTheme="minorHAnsi" w:hAnsiTheme="minorHAnsi"/>
          <w:u w:val="single"/>
        </w:rPr>
        <w:t>do próprio</w:t>
      </w:r>
      <w:r w:rsidRPr="00A423BD">
        <w:rPr>
          <w:rFonts w:asciiTheme="minorHAnsi" w:hAnsiTheme="minorHAnsi"/>
        </w:rPr>
        <w:t xml:space="preserve">. </w:t>
      </w:r>
    </w:p>
    <w:p w14:paraId="2284E645" w14:textId="3B407EAF" w:rsidR="00BC6625" w:rsidRPr="00A423BD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 xml:space="preserve">A utilização de </w:t>
      </w:r>
      <w:proofErr w:type="spellStart"/>
      <w:r w:rsidRPr="00A423BD">
        <w:rPr>
          <w:rFonts w:asciiTheme="minorHAnsi" w:hAnsiTheme="minorHAnsi"/>
          <w:i/>
        </w:rPr>
        <w:t>tablets</w:t>
      </w:r>
      <w:proofErr w:type="spellEnd"/>
      <w:r w:rsidRPr="00A423BD">
        <w:rPr>
          <w:rFonts w:asciiTheme="minorHAnsi" w:hAnsiTheme="minorHAnsi"/>
        </w:rPr>
        <w:t xml:space="preserve">, </w:t>
      </w:r>
      <w:proofErr w:type="spellStart"/>
      <w:r w:rsidRPr="00A423BD">
        <w:rPr>
          <w:rFonts w:asciiTheme="minorHAnsi" w:hAnsiTheme="minorHAnsi"/>
          <w:i/>
        </w:rPr>
        <w:t>smartphones</w:t>
      </w:r>
      <w:proofErr w:type="spellEnd"/>
      <w:r w:rsidRPr="00A423BD">
        <w:rPr>
          <w:rFonts w:asciiTheme="minorHAnsi" w:hAnsiTheme="minorHAnsi"/>
        </w:rPr>
        <w:t xml:space="preserve">, </w:t>
      </w:r>
      <w:r w:rsidRPr="00A423BD">
        <w:rPr>
          <w:rFonts w:asciiTheme="minorHAnsi" w:hAnsiTheme="minorHAnsi"/>
          <w:i/>
        </w:rPr>
        <w:t>laptops</w:t>
      </w:r>
      <w:r w:rsidRPr="00A423BD">
        <w:rPr>
          <w:rFonts w:asciiTheme="minorHAnsi" w:hAnsiTheme="minorHAnsi"/>
        </w:rPr>
        <w:t xml:space="preserve"> ou qualquer outro equipamento eletrónico que permita o acesso à internet não é permitida durante toda a duração do exame.</w:t>
      </w:r>
    </w:p>
    <w:p w14:paraId="49EDD60F" w14:textId="0D98256A" w:rsidR="008D031B" w:rsidRPr="00A423BD" w:rsidRDefault="008D031B" w:rsidP="00BC662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>No final do exame, os enunciados devem ser devolvidos juntamente com as folhas de respostas.</w:t>
      </w:r>
    </w:p>
    <w:p w14:paraId="6487DF16" w14:textId="77777777" w:rsidR="009A3371" w:rsidRPr="00A423BD" w:rsidRDefault="009A3371" w:rsidP="009A3371">
      <w:pPr>
        <w:spacing w:line="276" w:lineRule="auto"/>
        <w:jc w:val="both"/>
        <w:rPr>
          <w:rFonts w:asciiTheme="minorHAnsi" w:hAnsiTheme="minorHAnsi"/>
        </w:rPr>
      </w:pPr>
    </w:p>
    <w:p w14:paraId="73E3DCAD" w14:textId="77777777" w:rsidR="009A3371" w:rsidRPr="00A423BD" w:rsidRDefault="009A3371" w:rsidP="009A3371">
      <w:pPr>
        <w:spacing w:line="276" w:lineRule="auto"/>
        <w:jc w:val="both"/>
        <w:rPr>
          <w:rFonts w:asciiTheme="minorHAnsi" w:hAnsiTheme="minorHAnsi"/>
        </w:rPr>
      </w:pPr>
    </w:p>
    <w:p w14:paraId="0795BD68" w14:textId="168FE945" w:rsidR="009A3371" w:rsidRPr="00A423BD" w:rsidRDefault="009A3371" w:rsidP="009A3371">
      <w:pPr>
        <w:spacing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>Boa sorte!</w:t>
      </w:r>
    </w:p>
    <w:p w14:paraId="7BD629F6" w14:textId="760FB715" w:rsidR="009A3371" w:rsidRPr="00A423BD" w:rsidRDefault="009A3371" w:rsidP="00073F02">
      <w:pPr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br w:type="page"/>
      </w:r>
    </w:p>
    <w:p w14:paraId="547EB344" w14:textId="306756FA" w:rsidR="00C16DCE" w:rsidRPr="00C16DCE" w:rsidRDefault="00C16DCE" w:rsidP="00DF6EE5">
      <w:pPr>
        <w:pStyle w:val="Default"/>
        <w:spacing w:after="9" w:line="276" w:lineRule="auto"/>
        <w:jc w:val="both"/>
        <w:rPr>
          <w:rFonts w:asciiTheme="minorHAnsi" w:hAnsiTheme="minorHAnsi"/>
          <w:b/>
        </w:rPr>
      </w:pPr>
      <w:r w:rsidRPr="00C16DCE">
        <w:rPr>
          <w:rFonts w:asciiTheme="minorHAnsi" w:hAnsiTheme="minorHAnsi"/>
          <w:b/>
        </w:rPr>
        <w:lastRenderedPageBreak/>
        <w:t>Grupo A (</w:t>
      </w:r>
      <w:r w:rsidR="00E7618D">
        <w:rPr>
          <w:rFonts w:asciiTheme="minorHAnsi" w:hAnsiTheme="minorHAnsi"/>
          <w:b/>
        </w:rPr>
        <w:t>8 valores</w:t>
      </w:r>
      <w:r w:rsidRPr="00C16DCE">
        <w:rPr>
          <w:rFonts w:asciiTheme="minorHAnsi" w:hAnsiTheme="minorHAnsi"/>
          <w:b/>
        </w:rPr>
        <w:t>)</w:t>
      </w:r>
    </w:p>
    <w:p w14:paraId="558C9948" w14:textId="77777777" w:rsidR="00E7618D" w:rsidRDefault="00E7618D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36FFEDEE" w14:textId="6F45C699" w:rsidR="00F03CD3" w:rsidRDefault="007E5ED3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  <w:r w:rsidRPr="00A423BD">
        <w:rPr>
          <w:rFonts w:asciiTheme="minorHAnsi" w:hAnsiTheme="minorHAnsi"/>
        </w:rPr>
        <w:t xml:space="preserve">1) </w:t>
      </w:r>
      <w:r w:rsidR="00F03CD3" w:rsidRPr="00F03CD3">
        <w:rPr>
          <w:rFonts w:asciiTheme="minorHAnsi" w:hAnsiTheme="minorHAnsi"/>
          <w:u w:val="single"/>
        </w:rPr>
        <w:t>À luz da Constituição da República Portuguesa</w:t>
      </w:r>
      <w:r w:rsidR="00F03CD3">
        <w:rPr>
          <w:rFonts w:asciiTheme="minorHAnsi" w:hAnsiTheme="minorHAnsi"/>
        </w:rPr>
        <w:t>, pode o Estado abolir a propriedade privada? Justifique a sua resposta aludindo aos preceitos constitucionais relevantes.</w:t>
      </w:r>
    </w:p>
    <w:p w14:paraId="3DFEB3D5" w14:textId="77777777" w:rsidR="00F03CD3" w:rsidRDefault="00F03CD3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753A28C0" w14:textId="5B8E94C6" w:rsidR="00F03CD3" w:rsidRDefault="00F03CD3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3C2640" w:rsidRPr="00A423BD">
        <w:rPr>
          <w:rFonts w:asciiTheme="minorHAnsi" w:hAnsiTheme="minorHAnsi"/>
        </w:rPr>
        <w:t>Caraterize</w:t>
      </w:r>
      <w:r>
        <w:rPr>
          <w:rFonts w:asciiTheme="minorHAnsi" w:hAnsiTheme="minorHAnsi"/>
        </w:rPr>
        <w:t xml:space="preserve"> e distinga o direito de estabelecimento (artigos 49.º a 55.º do TFUE)</w:t>
      </w:r>
      <w:r w:rsidR="003C2640" w:rsidRPr="00A423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 a liberdade de prestação de serviços (artigos 56.º a 62.º do TFUE), aludindo aos traços comuns e aos elementos que </w:t>
      </w:r>
      <w:r w:rsidR="00C16DCE">
        <w:rPr>
          <w:rFonts w:asciiTheme="minorHAnsi" w:hAnsiTheme="minorHAnsi"/>
        </w:rPr>
        <w:t>o</w:t>
      </w:r>
      <w:r>
        <w:rPr>
          <w:rFonts w:asciiTheme="minorHAnsi" w:hAnsiTheme="minorHAnsi"/>
        </w:rPr>
        <w:t>s distinguem.</w:t>
      </w:r>
    </w:p>
    <w:p w14:paraId="7D8B69DE" w14:textId="77777777" w:rsidR="00F03CD3" w:rsidRDefault="00F03CD3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0DE13D6B" w14:textId="77777777" w:rsidR="00E7618D" w:rsidRDefault="00E7618D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4E21E1B5" w14:textId="2D079369" w:rsidR="00C16DCE" w:rsidRPr="00C16DCE" w:rsidRDefault="00C16DCE" w:rsidP="00DF6EE5">
      <w:pPr>
        <w:pStyle w:val="Default"/>
        <w:spacing w:after="9" w:line="276" w:lineRule="auto"/>
        <w:jc w:val="both"/>
        <w:rPr>
          <w:rFonts w:asciiTheme="minorHAnsi" w:hAnsiTheme="minorHAnsi"/>
          <w:b/>
        </w:rPr>
      </w:pPr>
      <w:r w:rsidRPr="00C16DCE">
        <w:rPr>
          <w:rFonts w:asciiTheme="minorHAnsi" w:hAnsiTheme="minorHAnsi"/>
          <w:b/>
        </w:rPr>
        <w:t>Grupo B (</w:t>
      </w:r>
      <w:r w:rsidR="00E7618D">
        <w:rPr>
          <w:rFonts w:asciiTheme="minorHAnsi" w:hAnsiTheme="minorHAnsi"/>
          <w:b/>
        </w:rPr>
        <w:t>12 valores</w:t>
      </w:r>
      <w:r w:rsidRPr="00C16DCE">
        <w:rPr>
          <w:rFonts w:asciiTheme="minorHAnsi" w:hAnsiTheme="minorHAnsi"/>
          <w:b/>
        </w:rPr>
        <w:t>)</w:t>
      </w:r>
    </w:p>
    <w:p w14:paraId="14FDF8AE" w14:textId="77777777" w:rsidR="00E7618D" w:rsidRDefault="00E7618D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7963E337" w14:textId="0FD320FF" w:rsidR="00F03CD3" w:rsidRDefault="00C16DCE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03CD3">
        <w:rPr>
          <w:rFonts w:asciiTheme="minorHAnsi" w:hAnsiTheme="minorHAnsi"/>
        </w:rPr>
        <w:t xml:space="preserve">) Tendo presente a noção de </w:t>
      </w:r>
      <w:r w:rsidR="00F03CD3">
        <w:rPr>
          <w:rFonts w:asciiTheme="minorHAnsi" w:hAnsiTheme="minorHAnsi"/>
          <w:i/>
        </w:rPr>
        <w:t>golden shares</w:t>
      </w:r>
      <w:r w:rsidR="00F03CD3">
        <w:rPr>
          <w:rFonts w:asciiTheme="minorHAnsi" w:hAnsiTheme="minorHAnsi"/>
        </w:rPr>
        <w:t xml:space="preserve">, explique de que forma a consagração das mesmas na legislação dos Estados-Membros pode afetar o direito de estabelecimento e/ou a liberdade de circulação de capitais (artigos 63.º a 66.º do TFUE). </w:t>
      </w:r>
    </w:p>
    <w:p w14:paraId="4D400D41" w14:textId="77777777" w:rsidR="00C16DCE" w:rsidRDefault="00C16DCE" w:rsidP="00DF6EE5">
      <w:pPr>
        <w:pStyle w:val="Default"/>
        <w:spacing w:after="9" w:line="276" w:lineRule="auto"/>
        <w:jc w:val="both"/>
        <w:rPr>
          <w:rFonts w:asciiTheme="minorHAnsi" w:hAnsiTheme="minorHAnsi"/>
        </w:rPr>
      </w:pPr>
    </w:p>
    <w:p w14:paraId="426C3BD4" w14:textId="376E03AC" w:rsidR="00C16DCE" w:rsidRDefault="00C16DCE" w:rsidP="00C16DCE">
      <w:pPr>
        <w:pStyle w:val="Default"/>
        <w:spacing w:after="9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C16DCE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Tendo presente a redação dos artigos </w:t>
      </w:r>
      <w:r w:rsidRPr="00910A2B">
        <w:rPr>
          <w:rFonts w:asciiTheme="minorHAnsi" w:hAnsiTheme="minorHAnsi"/>
          <w:b/>
        </w:rPr>
        <w:t>106.º, n.º 1</w:t>
      </w:r>
      <w:r>
        <w:rPr>
          <w:rFonts w:asciiTheme="minorHAnsi" w:hAnsiTheme="minorHAnsi"/>
        </w:rPr>
        <w:t xml:space="preserve"> e </w:t>
      </w:r>
      <w:r w:rsidRPr="00910A2B">
        <w:rPr>
          <w:rFonts w:asciiTheme="minorHAnsi" w:hAnsiTheme="minorHAnsi"/>
          <w:b/>
        </w:rPr>
        <w:t>345.º</w:t>
      </w:r>
      <w:r>
        <w:rPr>
          <w:rFonts w:asciiTheme="minorHAnsi" w:hAnsiTheme="minorHAnsi"/>
        </w:rPr>
        <w:t xml:space="preserve"> do Tratado sobre o Funcionamento da União Europeia (TFUE), </w:t>
      </w:r>
      <w:r>
        <w:rPr>
          <w:rFonts w:asciiTheme="minorHAnsi" w:hAnsiTheme="minorHAnsi"/>
        </w:rPr>
        <w:t>explique (i) como é que se</w:t>
      </w:r>
      <w:r>
        <w:rPr>
          <w:rFonts w:asciiTheme="minorHAnsi" w:hAnsiTheme="minorHAnsi"/>
        </w:rPr>
        <w:t xml:space="preserve"> compatibiliza a interpretação de ambos os preceitos</w:t>
      </w:r>
      <w:r>
        <w:rPr>
          <w:rFonts w:asciiTheme="minorHAnsi" w:hAnsiTheme="minorHAnsi"/>
        </w:rPr>
        <w:t xml:space="preserve"> e (</w:t>
      </w:r>
      <w:proofErr w:type="spellStart"/>
      <w:r>
        <w:rPr>
          <w:rFonts w:asciiTheme="minorHAnsi" w:hAnsiTheme="minorHAnsi"/>
        </w:rPr>
        <w:t>ii</w:t>
      </w:r>
      <w:proofErr w:type="spellEnd"/>
      <w:r>
        <w:rPr>
          <w:rFonts w:asciiTheme="minorHAnsi" w:hAnsiTheme="minorHAnsi"/>
        </w:rPr>
        <w:t xml:space="preserve">) de que forma </w:t>
      </w:r>
      <w:r w:rsidRPr="00FA1970">
        <w:rPr>
          <w:rFonts w:asciiTheme="minorHAnsi" w:hAnsiTheme="minorHAnsi"/>
          <w:u w:val="single"/>
        </w:rPr>
        <w:t>o disposto no artigo 106.º, n.º 1 e as remissões por este operadas para os artigos 101.º, 102.º e 107.º TFUE</w:t>
      </w:r>
      <w:r>
        <w:rPr>
          <w:rFonts w:asciiTheme="minorHAnsi" w:hAnsiTheme="minorHAnsi"/>
        </w:rPr>
        <w:t>, condicionam a dimensão do setor público nos diferentes Estados-Membros.</w:t>
      </w:r>
    </w:p>
    <w:p w14:paraId="46C9D679" w14:textId="69045CF3" w:rsidR="00910A2B" w:rsidRPr="00970E9F" w:rsidRDefault="00E379C9" w:rsidP="00DF6EE5">
      <w:pPr>
        <w:pStyle w:val="parentitem"/>
        <w:spacing w:line="276" w:lineRule="auto"/>
        <w:rPr>
          <w:rFonts w:ascii="Open Sans" w:hAnsi="Open Sans"/>
        </w:rPr>
      </w:pPr>
      <w:r w:rsidRPr="00970E9F">
        <w:rPr>
          <w:rFonts w:ascii="Open Sans" w:hAnsi="Open Sans"/>
        </w:rPr>
        <w:t xml:space="preserve">Artigo </w:t>
      </w:r>
      <w:r w:rsidR="00910A2B" w:rsidRPr="00970E9F">
        <w:rPr>
          <w:rFonts w:ascii="Open Sans" w:hAnsi="Open Sans"/>
        </w:rPr>
        <w:t>106.º</w:t>
      </w:r>
    </w:p>
    <w:p w14:paraId="48D771EA" w14:textId="556DAA61" w:rsidR="00910A2B" w:rsidRPr="00970E9F" w:rsidRDefault="00910A2B" w:rsidP="00910A2B">
      <w:pPr>
        <w:pStyle w:val="parentitem"/>
        <w:spacing w:line="276" w:lineRule="auto"/>
        <w:jc w:val="both"/>
        <w:rPr>
          <w:rFonts w:ascii="Open Sans" w:hAnsi="Open Sans"/>
          <w:b w:val="0"/>
        </w:rPr>
      </w:pPr>
      <w:r w:rsidRPr="00970E9F">
        <w:rPr>
          <w:rFonts w:ascii="Open Sans" w:hAnsi="Open Sans"/>
          <w:b w:val="0"/>
        </w:rPr>
        <w:t>1. No que respeita às empresas públicas e às empresas a que concedam direitos especiais ou exclusivos, os Estados-Membros não tomarão nem manterão qualquer medida contrária ao disposto nos Tratados, designadamente ao disposto nos artigos 18.º e 101.º a 109.º, inclusive.</w:t>
      </w:r>
    </w:p>
    <w:p w14:paraId="6B2E1C75" w14:textId="12B9DC3B" w:rsidR="00910A2B" w:rsidRPr="00970E9F" w:rsidRDefault="00910A2B" w:rsidP="00910A2B">
      <w:pPr>
        <w:pStyle w:val="parentitem"/>
        <w:spacing w:line="276" w:lineRule="auto"/>
        <w:jc w:val="both"/>
        <w:rPr>
          <w:rFonts w:ascii="Open Sans" w:hAnsi="Open Sans"/>
          <w:b w:val="0"/>
        </w:rPr>
      </w:pPr>
      <w:r w:rsidRPr="00970E9F">
        <w:rPr>
          <w:rFonts w:ascii="Open Sans" w:hAnsi="Open Sans"/>
          <w:b w:val="0"/>
        </w:rPr>
        <w:t>2. [</w:t>
      </w:r>
      <w:r w:rsidRPr="00970E9F">
        <w:rPr>
          <w:rFonts w:ascii="Open Sans" w:hAnsi="Open Sans" w:hint="eastAsia"/>
          <w:b w:val="0"/>
        </w:rPr>
        <w:t>…</w:t>
      </w:r>
      <w:r w:rsidRPr="00970E9F">
        <w:rPr>
          <w:rFonts w:ascii="Open Sans" w:hAnsi="Open Sans"/>
          <w:b w:val="0"/>
        </w:rPr>
        <w:t>]</w:t>
      </w:r>
    </w:p>
    <w:p w14:paraId="7F426D8A" w14:textId="3F433A8F" w:rsidR="00910A2B" w:rsidRPr="00970E9F" w:rsidRDefault="00910A2B" w:rsidP="00910A2B">
      <w:pPr>
        <w:pStyle w:val="parentitem"/>
        <w:spacing w:line="276" w:lineRule="auto"/>
        <w:jc w:val="both"/>
        <w:rPr>
          <w:rFonts w:ascii="Open Sans" w:hAnsi="Open Sans"/>
          <w:b w:val="0"/>
        </w:rPr>
      </w:pPr>
      <w:r w:rsidRPr="00970E9F">
        <w:rPr>
          <w:rFonts w:ascii="Open Sans" w:hAnsi="Open Sans"/>
          <w:b w:val="0"/>
        </w:rPr>
        <w:t>3. [</w:t>
      </w:r>
      <w:r w:rsidRPr="00970E9F">
        <w:rPr>
          <w:rFonts w:ascii="Open Sans" w:hAnsi="Open Sans" w:hint="eastAsia"/>
          <w:b w:val="0"/>
        </w:rPr>
        <w:t>…</w:t>
      </w:r>
      <w:r w:rsidRPr="00970E9F">
        <w:rPr>
          <w:rFonts w:ascii="Open Sans" w:hAnsi="Open Sans"/>
          <w:b w:val="0"/>
        </w:rPr>
        <w:t>]</w:t>
      </w:r>
    </w:p>
    <w:p w14:paraId="140AEB10" w14:textId="4E652CF5" w:rsidR="00E379C9" w:rsidRPr="00970E9F" w:rsidRDefault="00910A2B" w:rsidP="00DF6EE5">
      <w:pPr>
        <w:pStyle w:val="parentitem"/>
        <w:spacing w:line="276" w:lineRule="auto"/>
        <w:rPr>
          <w:rFonts w:ascii="Open Sans" w:hAnsi="Open Sans"/>
        </w:rPr>
      </w:pPr>
      <w:r w:rsidRPr="00970E9F">
        <w:rPr>
          <w:rFonts w:ascii="Open Sans" w:hAnsi="Open Sans"/>
        </w:rPr>
        <w:t>Artigo 345.º</w:t>
      </w:r>
    </w:p>
    <w:p w14:paraId="323025A9" w14:textId="2D495D44" w:rsidR="009A3371" w:rsidRPr="00C16DCE" w:rsidRDefault="00910A2B" w:rsidP="00C16DCE">
      <w:pPr>
        <w:pStyle w:val="textoitem"/>
        <w:spacing w:line="276" w:lineRule="auto"/>
        <w:jc w:val="both"/>
        <w:rPr>
          <w:rFonts w:ascii="Open Sans" w:hAnsi="Open Sans"/>
          <w:color w:val="363636"/>
        </w:rPr>
      </w:pPr>
      <w:r w:rsidRPr="00970E9F">
        <w:rPr>
          <w:rFonts w:ascii="Open Sans" w:hAnsi="Open Sans"/>
        </w:rPr>
        <w:t>Os Tratados em nada prejudicam o regime da propriedade nos Estados-Membros</w:t>
      </w:r>
      <w:r>
        <w:rPr>
          <w:rFonts w:ascii="Open Sans" w:hAnsi="Open Sans"/>
          <w:color w:val="363636"/>
        </w:rPr>
        <w:t>.</w:t>
      </w:r>
    </w:p>
    <w:sectPr w:rsidR="009A3371" w:rsidRPr="00C16DC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5DDF" w14:textId="77777777" w:rsidR="00AA2469" w:rsidRDefault="00AA2469">
      <w:r>
        <w:separator/>
      </w:r>
    </w:p>
  </w:endnote>
  <w:endnote w:type="continuationSeparator" w:id="0">
    <w:p w14:paraId="6BB21ACC" w14:textId="77777777" w:rsidR="00AA2469" w:rsidRDefault="00A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A0190" w14:textId="77777777" w:rsidR="00C74ED9" w:rsidRDefault="00C74ED9" w:rsidP="00B0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DB79F" w14:textId="77777777" w:rsidR="00C74ED9" w:rsidRDefault="00C74ED9" w:rsidP="00C74E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C464" w14:textId="77777777" w:rsidR="00C74ED9" w:rsidRDefault="00C74ED9" w:rsidP="00B0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618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085DD7" w14:textId="600E4597" w:rsidR="00BF74D4" w:rsidRDefault="00BF74D4" w:rsidP="00C74ED9">
    <w:pPr>
      <w:pStyle w:val="Rodap"/>
      <w:ind w:right="360"/>
      <w:jc w:val="right"/>
    </w:pPr>
  </w:p>
  <w:p w14:paraId="390CDDB3" w14:textId="1E0020C6" w:rsidR="00BF74D4" w:rsidRDefault="00BF74D4" w:rsidP="006F31C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7923D" w14:textId="77777777" w:rsidR="00AA2469" w:rsidRDefault="00AA2469">
      <w:r>
        <w:separator/>
      </w:r>
    </w:p>
  </w:footnote>
  <w:footnote w:type="continuationSeparator" w:id="0">
    <w:p w14:paraId="7B6FFBF1" w14:textId="77777777" w:rsidR="00AA2469" w:rsidRDefault="00AA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D5E7" w14:textId="5C3EA60C" w:rsidR="00BF74D4" w:rsidRDefault="00BF74D4" w:rsidP="006F31C3">
    <w:pPr>
      <w:pStyle w:val="Cabealho"/>
      <w:jc w:val="center"/>
    </w:pPr>
    <w:r>
      <w:rPr>
        <w:noProof/>
      </w:rPr>
      <w:drawing>
        <wp:inline distT="0" distB="0" distL="0" distR="0" wp14:anchorId="50B38013" wp14:editId="02AA59AB">
          <wp:extent cx="2095500" cy="939800"/>
          <wp:effectExtent l="0" t="0" r="12700" b="0"/>
          <wp:docPr id="1" name="Picture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27997"/>
    <w:multiLevelType w:val="hybridMultilevel"/>
    <w:tmpl w:val="6E622002"/>
    <w:lvl w:ilvl="0" w:tplc="1526A6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11D4"/>
    <w:multiLevelType w:val="hybridMultilevel"/>
    <w:tmpl w:val="DDC201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3A17"/>
    <w:multiLevelType w:val="hybridMultilevel"/>
    <w:tmpl w:val="512443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222"/>
    <w:multiLevelType w:val="multilevel"/>
    <w:tmpl w:val="C69E29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5815D4E"/>
    <w:multiLevelType w:val="hybridMultilevel"/>
    <w:tmpl w:val="172C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6333"/>
    <w:multiLevelType w:val="hybridMultilevel"/>
    <w:tmpl w:val="072EC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723"/>
    <w:multiLevelType w:val="hybridMultilevel"/>
    <w:tmpl w:val="B128F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79D"/>
    <w:multiLevelType w:val="hybridMultilevel"/>
    <w:tmpl w:val="F6E2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7E1B"/>
    <w:multiLevelType w:val="hybridMultilevel"/>
    <w:tmpl w:val="2B78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3A31"/>
    <w:multiLevelType w:val="hybridMultilevel"/>
    <w:tmpl w:val="5268D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29A2"/>
    <w:multiLevelType w:val="hybridMultilevel"/>
    <w:tmpl w:val="0B6EE22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247CED"/>
    <w:multiLevelType w:val="hybridMultilevel"/>
    <w:tmpl w:val="1B60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7CF1"/>
    <w:multiLevelType w:val="hybridMultilevel"/>
    <w:tmpl w:val="FB92C672"/>
    <w:lvl w:ilvl="0" w:tplc="B798E8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2453"/>
    <w:multiLevelType w:val="hybridMultilevel"/>
    <w:tmpl w:val="A2BC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C0D37"/>
    <w:multiLevelType w:val="multilevel"/>
    <w:tmpl w:val="3CA8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7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C3"/>
    <w:rsid w:val="0000587A"/>
    <w:rsid w:val="00022A9E"/>
    <w:rsid w:val="00036787"/>
    <w:rsid w:val="0005468F"/>
    <w:rsid w:val="00073F02"/>
    <w:rsid w:val="000B0025"/>
    <w:rsid w:val="000D30AE"/>
    <w:rsid w:val="000F0CA2"/>
    <w:rsid w:val="00111D6B"/>
    <w:rsid w:val="00160D80"/>
    <w:rsid w:val="00177BBC"/>
    <w:rsid w:val="001804BF"/>
    <w:rsid w:val="001C2BD2"/>
    <w:rsid w:val="001E46D7"/>
    <w:rsid w:val="00251530"/>
    <w:rsid w:val="00272D88"/>
    <w:rsid w:val="00290B7A"/>
    <w:rsid w:val="002C45DD"/>
    <w:rsid w:val="002E3260"/>
    <w:rsid w:val="003203B1"/>
    <w:rsid w:val="00332C9C"/>
    <w:rsid w:val="00354D4C"/>
    <w:rsid w:val="00366B34"/>
    <w:rsid w:val="003A101D"/>
    <w:rsid w:val="003A1656"/>
    <w:rsid w:val="003B6CBD"/>
    <w:rsid w:val="003C2640"/>
    <w:rsid w:val="003C6756"/>
    <w:rsid w:val="003D6BEE"/>
    <w:rsid w:val="003F4F51"/>
    <w:rsid w:val="003F59D6"/>
    <w:rsid w:val="00402FAC"/>
    <w:rsid w:val="00425D90"/>
    <w:rsid w:val="00453626"/>
    <w:rsid w:val="0045525A"/>
    <w:rsid w:val="00482AD7"/>
    <w:rsid w:val="004A1F60"/>
    <w:rsid w:val="004D5764"/>
    <w:rsid w:val="00505F6B"/>
    <w:rsid w:val="005070CA"/>
    <w:rsid w:val="00523E19"/>
    <w:rsid w:val="005A06AB"/>
    <w:rsid w:val="005A2197"/>
    <w:rsid w:val="005B1B1B"/>
    <w:rsid w:val="00604EEE"/>
    <w:rsid w:val="0061783F"/>
    <w:rsid w:val="00630A5A"/>
    <w:rsid w:val="00631EB2"/>
    <w:rsid w:val="00632045"/>
    <w:rsid w:val="00653894"/>
    <w:rsid w:val="0068105C"/>
    <w:rsid w:val="00681152"/>
    <w:rsid w:val="00690848"/>
    <w:rsid w:val="006A16AA"/>
    <w:rsid w:val="006E2C85"/>
    <w:rsid w:val="006E69F2"/>
    <w:rsid w:val="006F31C3"/>
    <w:rsid w:val="00717729"/>
    <w:rsid w:val="007415A5"/>
    <w:rsid w:val="00752382"/>
    <w:rsid w:val="00755F87"/>
    <w:rsid w:val="007D3ED0"/>
    <w:rsid w:val="007E5ED3"/>
    <w:rsid w:val="007E6506"/>
    <w:rsid w:val="00824608"/>
    <w:rsid w:val="008444E9"/>
    <w:rsid w:val="00872045"/>
    <w:rsid w:val="00880BDF"/>
    <w:rsid w:val="00883A05"/>
    <w:rsid w:val="0088759A"/>
    <w:rsid w:val="008941DA"/>
    <w:rsid w:val="008A6DD9"/>
    <w:rsid w:val="008D031B"/>
    <w:rsid w:val="008E19C7"/>
    <w:rsid w:val="008E30D6"/>
    <w:rsid w:val="008F5317"/>
    <w:rsid w:val="00910A2B"/>
    <w:rsid w:val="00923447"/>
    <w:rsid w:val="00946A68"/>
    <w:rsid w:val="00970E9F"/>
    <w:rsid w:val="00974D26"/>
    <w:rsid w:val="009A3371"/>
    <w:rsid w:val="009E3105"/>
    <w:rsid w:val="009F31AD"/>
    <w:rsid w:val="00A423BD"/>
    <w:rsid w:val="00A84750"/>
    <w:rsid w:val="00AA2469"/>
    <w:rsid w:val="00AB2D39"/>
    <w:rsid w:val="00B53042"/>
    <w:rsid w:val="00B62991"/>
    <w:rsid w:val="00BA7D28"/>
    <w:rsid w:val="00BC6625"/>
    <w:rsid w:val="00BD7E03"/>
    <w:rsid w:val="00BE0185"/>
    <w:rsid w:val="00BE6D03"/>
    <w:rsid w:val="00BF74D4"/>
    <w:rsid w:val="00C120B8"/>
    <w:rsid w:val="00C16DCE"/>
    <w:rsid w:val="00C17F2D"/>
    <w:rsid w:val="00C25344"/>
    <w:rsid w:val="00C31CCE"/>
    <w:rsid w:val="00C54145"/>
    <w:rsid w:val="00C6457A"/>
    <w:rsid w:val="00C74ED9"/>
    <w:rsid w:val="00C75CE3"/>
    <w:rsid w:val="00C764E4"/>
    <w:rsid w:val="00CF2295"/>
    <w:rsid w:val="00CF3BE8"/>
    <w:rsid w:val="00DC70A3"/>
    <w:rsid w:val="00DE2596"/>
    <w:rsid w:val="00DF6EE5"/>
    <w:rsid w:val="00E31820"/>
    <w:rsid w:val="00E379C9"/>
    <w:rsid w:val="00E7618D"/>
    <w:rsid w:val="00E80ACE"/>
    <w:rsid w:val="00F03277"/>
    <w:rsid w:val="00F03CD3"/>
    <w:rsid w:val="00F2248D"/>
    <w:rsid w:val="00F32D1A"/>
    <w:rsid w:val="00F3409A"/>
    <w:rsid w:val="00F71CB2"/>
    <w:rsid w:val="00F77C3F"/>
    <w:rsid w:val="00F85DEE"/>
    <w:rsid w:val="00FA1970"/>
    <w:rsid w:val="00FB442C"/>
    <w:rsid w:val="00FB7F64"/>
    <w:rsid w:val="00FC12AF"/>
    <w:rsid w:val="00FE406F"/>
    <w:rsid w:val="00FF14C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D610A"/>
  <w15:docId w15:val="{812C2110-A27B-451F-A3A6-5E35C29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F31C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Textodenotaderodap">
    <w:name w:val="footnote text"/>
    <w:basedOn w:val="Normal"/>
    <w:link w:val="TextodenotaderodapCarter"/>
    <w:rsid w:val="00883A05"/>
  </w:style>
  <w:style w:type="character" w:customStyle="1" w:styleId="TextodenotaderodapCarter">
    <w:name w:val="Texto de nota de rodapé Caráter"/>
    <w:basedOn w:val="Tipodeletrapredefinidodopargrafo"/>
    <w:link w:val="Textodenotaderodap"/>
    <w:rsid w:val="00883A05"/>
    <w:rPr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rsid w:val="00883A05"/>
    <w:rPr>
      <w:vertAlign w:val="superscript"/>
    </w:rPr>
  </w:style>
  <w:style w:type="paragraph" w:styleId="Corpodetexto">
    <w:name w:val="Body Text"/>
    <w:basedOn w:val="Normal"/>
    <w:link w:val="CorpodetextoCarte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2A9E"/>
    <w:rPr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unhideWhenUsed/>
    <w:rsid w:val="00C7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43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1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645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42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431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6903-BE41-4852-A333-C861E6B1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FDUNL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Manso</dc:creator>
  <cp:lastModifiedBy>Lucio Feteira</cp:lastModifiedBy>
  <cp:revision>3</cp:revision>
  <cp:lastPrinted>2006-10-03T09:13:00Z</cp:lastPrinted>
  <dcterms:created xsi:type="dcterms:W3CDTF">2015-07-16T14:35:00Z</dcterms:created>
  <dcterms:modified xsi:type="dcterms:W3CDTF">2015-07-16T15:40:00Z</dcterms:modified>
</cp:coreProperties>
</file>