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3B0A" w14:textId="049A257C" w:rsidR="00B66B45" w:rsidRDefault="007F6145" w:rsidP="007F6145">
      <w:pPr>
        <w:spacing w:line="360" w:lineRule="auto"/>
        <w:jc w:val="both"/>
        <w:rPr>
          <w:rFonts w:ascii="Times" w:hAnsi="Times"/>
          <w:iCs/>
        </w:rPr>
      </w:pPr>
      <w:r w:rsidRPr="00E8001B">
        <w:rPr>
          <w:rFonts w:ascii="Times" w:hAnsi="Times"/>
        </w:rPr>
        <w:t xml:space="preserve">1. </w:t>
      </w:r>
      <w:r w:rsidR="00387E68" w:rsidRPr="00E8001B">
        <w:rPr>
          <w:rFonts w:ascii="Times" w:hAnsi="Times"/>
        </w:rPr>
        <w:t>Foi celebrado</w:t>
      </w:r>
      <w:r w:rsidR="00E8001B">
        <w:rPr>
          <w:rFonts w:ascii="Times" w:hAnsi="Times"/>
        </w:rPr>
        <w:t xml:space="preserve"> entre M. e a H.S., Lda. um contrato de empreitada</w:t>
      </w:r>
      <w:r w:rsidR="007D6447">
        <w:rPr>
          <w:rFonts w:ascii="Times" w:hAnsi="Times"/>
        </w:rPr>
        <w:t xml:space="preserve">, nos termos do </w:t>
      </w:r>
      <w:proofErr w:type="spellStart"/>
      <w:r w:rsidR="007D6447">
        <w:rPr>
          <w:rFonts w:ascii="Times" w:hAnsi="Times"/>
        </w:rPr>
        <w:t>art</w:t>
      </w:r>
      <w:proofErr w:type="spellEnd"/>
      <w:r w:rsidR="007D6447">
        <w:rPr>
          <w:rFonts w:ascii="Times" w:hAnsi="Times"/>
        </w:rPr>
        <w:t xml:space="preserve">. </w:t>
      </w:r>
      <w:r w:rsidR="00065655">
        <w:rPr>
          <w:rFonts w:ascii="Times" w:hAnsi="Times"/>
        </w:rPr>
        <w:t>1207.º do CC</w:t>
      </w:r>
      <w:r w:rsidR="001E7954">
        <w:rPr>
          <w:rFonts w:ascii="Times" w:hAnsi="Times"/>
        </w:rPr>
        <w:t>, um subtipo da prestação de serviços (</w:t>
      </w:r>
      <w:proofErr w:type="spellStart"/>
      <w:r w:rsidR="001E7954">
        <w:rPr>
          <w:rFonts w:ascii="Times" w:hAnsi="Times"/>
        </w:rPr>
        <w:t>art</w:t>
      </w:r>
      <w:proofErr w:type="spellEnd"/>
      <w:r w:rsidR="00CE2986">
        <w:rPr>
          <w:rFonts w:ascii="Times" w:hAnsi="Times"/>
        </w:rPr>
        <w:t xml:space="preserve">. 1154.º e </w:t>
      </w:r>
      <w:proofErr w:type="spellStart"/>
      <w:r w:rsidR="00CE2986">
        <w:rPr>
          <w:rFonts w:ascii="Times" w:hAnsi="Times"/>
        </w:rPr>
        <w:t>segs</w:t>
      </w:r>
      <w:proofErr w:type="spellEnd"/>
      <w:r w:rsidR="00CE2986">
        <w:rPr>
          <w:rFonts w:ascii="Times" w:hAnsi="Times"/>
        </w:rPr>
        <w:t xml:space="preserve">. do CC). </w:t>
      </w:r>
      <w:r w:rsidR="008A250F">
        <w:rPr>
          <w:rFonts w:ascii="Times" w:hAnsi="Times"/>
        </w:rPr>
        <w:t xml:space="preserve">Este contrato </w:t>
      </w:r>
      <w:r w:rsidR="00986F3D">
        <w:rPr>
          <w:rFonts w:ascii="Times" w:hAnsi="Times"/>
        </w:rPr>
        <w:t>surge na sequência de um pedido de orçamento</w:t>
      </w:r>
      <w:r w:rsidR="00404D2C">
        <w:rPr>
          <w:rFonts w:ascii="Times" w:hAnsi="Times"/>
        </w:rPr>
        <w:t xml:space="preserve">. </w:t>
      </w:r>
      <w:r w:rsidR="009F0DFD">
        <w:rPr>
          <w:rFonts w:ascii="Times" w:hAnsi="Times"/>
        </w:rPr>
        <w:t xml:space="preserve">Este pedido pode ser categorizado como um </w:t>
      </w:r>
      <w:r w:rsidR="009F0DFD" w:rsidRPr="00404D2C">
        <w:rPr>
          <w:rFonts w:ascii="Times" w:hAnsi="Times"/>
          <w:i/>
          <w:iCs/>
        </w:rPr>
        <w:t>ato preparatório</w:t>
      </w:r>
      <w:r w:rsidR="009F0DFD">
        <w:rPr>
          <w:rFonts w:ascii="Times" w:hAnsi="Times"/>
        </w:rPr>
        <w:t xml:space="preserve">, inserido nas negociações pré-contratuais. O </w:t>
      </w:r>
      <w:r w:rsidR="00EE5EC6">
        <w:rPr>
          <w:rFonts w:ascii="Times" w:hAnsi="Times"/>
        </w:rPr>
        <w:t xml:space="preserve">orçamento </w:t>
      </w:r>
      <w:r w:rsidR="009F0DFD">
        <w:rPr>
          <w:rFonts w:ascii="Times" w:hAnsi="Times"/>
        </w:rPr>
        <w:t xml:space="preserve">ter-se-á </w:t>
      </w:r>
      <w:r w:rsidR="00EE5EC6">
        <w:rPr>
          <w:rFonts w:ascii="Times" w:hAnsi="Times"/>
        </w:rPr>
        <w:t xml:space="preserve">como verdadeira proposta contratual por H.S. </w:t>
      </w:r>
      <w:r w:rsidR="00CE0B51">
        <w:rPr>
          <w:rFonts w:ascii="Times" w:hAnsi="Times"/>
        </w:rPr>
        <w:t xml:space="preserve">na medida em que </w:t>
      </w:r>
      <w:r w:rsidR="00404D2C">
        <w:rPr>
          <w:rFonts w:ascii="Times" w:hAnsi="Times"/>
        </w:rPr>
        <w:t>apresenta</w:t>
      </w:r>
      <w:r w:rsidR="00404D2C">
        <w:rPr>
          <w:rFonts w:ascii="Times" w:hAnsi="Times"/>
        </w:rPr>
        <w:t xml:space="preserve"> firme</w:t>
      </w:r>
      <w:r w:rsidR="00404D2C">
        <w:rPr>
          <w:rFonts w:ascii="Times" w:hAnsi="Times"/>
        </w:rPr>
        <w:t>za</w:t>
      </w:r>
      <w:r w:rsidR="00404D2C">
        <w:rPr>
          <w:rFonts w:ascii="Times" w:hAnsi="Times"/>
        </w:rPr>
        <w:t>, precis</w:t>
      </w:r>
      <w:r w:rsidR="00404D2C">
        <w:rPr>
          <w:rFonts w:ascii="Times" w:hAnsi="Times"/>
        </w:rPr>
        <w:t>ão</w:t>
      </w:r>
      <w:r w:rsidR="00404D2C">
        <w:rPr>
          <w:rFonts w:ascii="Times" w:hAnsi="Times"/>
        </w:rPr>
        <w:t>, complet</w:t>
      </w:r>
      <w:r w:rsidR="00404D2C">
        <w:rPr>
          <w:rFonts w:ascii="Times" w:hAnsi="Times"/>
        </w:rPr>
        <w:t xml:space="preserve">ude (e adequação formal), para tanto concorrendo a apresentação, </w:t>
      </w:r>
      <w:r w:rsidR="00B91428">
        <w:rPr>
          <w:rFonts w:ascii="Times" w:hAnsi="Times"/>
        </w:rPr>
        <w:t>d</w:t>
      </w:r>
      <w:r w:rsidR="00FA0F79">
        <w:rPr>
          <w:rFonts w:ascii="Times" w:hAnsi="Times"/>
        </w:rPr>
        <w:t xml:space="preserve">esde logo, </w:t>
      </w:r>
      <w:r w:rsidR="00404D2C">
        <w:rPr>
          <w:rFonts w:ascii="Times" w:hAnsi="Times"/>
        </w:rPr>
        <w:t>d</w:t>
      </w:r>
      <w:r w:rsidR="002E523A">
        <w:rPr>
          <w:rFonts w:ascii="Times" w:hAnsi="Times"/>
        </w:rPr>
        <w:t xml:space="preserve">as cláusulas mais relevantes, como </w:t>
      </w:r>
      <w:r w:rsidR="00404D2C">
        <w:rPr>
          <w:rFonts w:ascii="Times" w:hAnsi="Times"/>
        </w:rPr>
        <w:t>a d</w:t>
      </w:r>
      <w:r w:rsidR="00FA0F79">
        <w:rPr>
          <w:rFonts w:ascii="Times" w:hAnsi="Times"/>
        </w:rPr>
        <w:t>o preço a pagar</w:t>
      </w:r>
      <w:r w:rsidR="00404D2C">
        <w:rPr>
          <w:rFonts w:ascii="Times" w:hAnsi="Times"/>
        </w:rPr>
        <w:t>,</w:t>
      </w:r>
      <w:r w:rsidR="00FA0F79">
        <w:rPr>
          <w:rFonts w:ascii="Times" w:hAnsi="Times"/>
        </w:rPr>
        <w:t xml:space="preserve"> os materiais a utilizar e outras especificidades</w:t>
      </w:r>
      <w:r w:rsidR="007B045C">
        <w:rPr>
          <w:rFonts w:ascii="Times" w:hAnsi="Times"/>
        </w:rPr>
        <w:t xml:space="preserve">. </w:t>
      </w:r>
      <w:r w:rsidR="007B045C">
        <w:rPr>
          <w:rFonts w:ascii="Times" w:hAnsi="Times"/>
        </w:rPr>
        <w:t>Gerou-se</w:t>
      </w:r>
      <w:r w:rsidR="007B045C">
        <w:rPr>
          <w:rFonts w:ascii="Times" w:hAnsi="Times"/>
        </w:rPr>
        <w:t>, portanto,</w:t>
      </w:r>
      <w:r w:rsidR="007B045C">
        <w:rPr>
          <w:rFonts w:ascii="Times" w:hAnsi="Times"/>
        </w:rPr>
        <w:t xml:space="preserve"> na esfera de M. um direito potestativo de aceitação (e correspondente sujeição na esfera de H.S.)</w:t>
      </w:r>
      <w:r w:rsidR="007B045C">
        <w:rPr>
          <w:rFonts w:ascii="Times" w:hAnsi="Times"/>
        </w:rPr>
        <w:t xml:space="preserve">. </w:t>
      </w:r>
      <w:r w:rsidR="005B5ADF">
        <w:rPr>
          <w:rFonts w:ascii="Times" w:hAnsi="Times"/>
        </w:rPr>
        <w:t xml:space="preserve">Esta proposta é, de resto, sob </w:t>
      </w:r>
      <w:r w:rsidR="00027DFB">
        <w:rPr>
          <w:rFonts w:ascii="Times" w:hAnsi="Times"/>
        </w:rPr>
        <w:t>fixação</w:t>
      </w:r>
      <w:r w:rsidR="005B5ADF">
        <w:rPr>
          <w:rFonts w:ascii="Times" w:hAnsi="Times"/>
        </w:rPr>
        <w:t xml:space="preserve"> do declarante </w:t>
      </w:r>
      <w:r w:rsidR="004144DC">
        <w:rPr>
          <w:rFonts w:ascii="Times" w:hAnsi="Times"/>
        </w:rPr>
        <w:t>(</w:t>
      </w:r>
      <w:proofErr w:type="spellStart"/>
      <w:r w:rsidR="004144DC">
        <w:rPr>
          <w:rFonts w:ascii="Times" w:hAnsi="Times"/>
        </w:rPr>
        <w:t>art</w:t>
      </w:r>
      <w:proofErr w:type="spellEnd"/>
      <w:r w:rsidR="004144DC">
        <w:rPr>
          <w:rFonts w:ascii="Times" w:hAnsi="Times"/>
        </w:rPr>
        <w:t>. 228.º, n.º 1, al. a))</w:t>
      </w:r>
      <w:r w:rsidR="00027DFB">
        <w:rPr>
          <w:rFonts w:ascii="Times" w:hAnsi="Times"/>
        </w:rPr>
        <w:t xml:space="preserve">, válida por cinco dias. </w:t>
      </w:r>
      <w:r w:rsidR="007B045C">
        <w:rPr>
          <w:rFonts w:ascii="Times" w:hAnsi="Times"/>
        </w:rPr>
        <w:t xml:space="preserve">A </w:t>
      </w:r>
      <w:r w:rsidR="00EF7379">
        <w:rPr>
          <w:rFonts w:ascii="Times" w:hAnsi="Times"/>
        </w:rPr>
        <w:t>aceitação de M. deu</w:t>
      </w:r>
      <w:r w:rsidR="007B045C">
        <w:rPr>
          <w:rFonts w:ascii="Times" w:hAnsi="Times"/>
        </w:rPr>
        <w:t xml:space="preserve">-se, portanto, </w:t>
      </w:r>
      <w:r w:rsidR="00EF7379">
        <w:rPr>
          <w:rFonts w:ascii="Times" w:hAnsi="Times"/>
        </w:rPr>
        <w:t xml:space="preserve">de modo extemporâneo: </w:t>
      </w:r>
      <w:r w:rsidR="00855305">
        <w:rPr>
          <w:rFonts w:ascii="Times" w:hAnsi="Times"/>
        </w:rPr>
        <w:t>segundo os ditames</w:t>
      </w:r>
      <w:r w:rsidR="00251788">
        <w:rPr>
          <w:rFonts w:ascii="Times" w:hAnsi="Times"/>
        </w:rPr>
        <w:t xml:space="preserve"> do </w:t>
      </w:r>
      <w:proofErr w:type="spellStart"/>
      <w:r w:rsidR="00251788">
        <w:rPr>
          <w:rFonts w:ascii="Times" w:hAnsi="Times"/>
        </w:rPr>
        <w:t>art</w:t>
      </w:r>
      <w:proofErr w:type="spellEnd"/>
      <w:r w:rsidR="00251788">
        <w:rPr>
          <w:rFonts w:ascii="Times" w:hAnsi="Times"/>
        </w:rPr>
        <w:t xml:space="preserve">. 279.º </w:t>
      </w:r>
      <w:proofErr w:type="spellStart"/>
      <w:r w:rsidR="00251788">
        <w:rPr>
          <w:rFonts w:ascii="Times" w:hAnsi="Times"/>
        </w:rPr>
        <w:t>als</w:t>
      </w:r>
      <w:proofErr w:type="spellEnd"/>
      <w:r w:rsidR="00251788">
        <w:rPr>
          <w:rFonts w:ascii="Times" w:hAnsi="Times"/>
        </w:rPr>
        <w:t xml:space="preserve">. b) e c), o prazo </w:t>
      </w:r>
      <w:r w:rsidR="009F0DFD">
        <w:rPr>
          <w:rFonts w:ascii="Times" w:hAnsi="Times"/>
        </w:rPr>
        <w:t xml:space="preserve">iniciar-se-ia a </w:t>
      </w:r>
      <w:r w:rsidR="000034E1">
        <w:rPr>
          <w:rFonts w:ascii="Times" w:hAnsi="Times"/>
        </w:rPr>
        <w:t>17/11</w:t>
      </w:r>
      <w:r w:rsidR="009F0DFD">
        <w:rPr>
          <w:rFonts w:ascii="Times" w:hAnsi="Times"/>
        </w:rPr>
        <w:t xml:space="preserve"> e terminaria às 24H de </w:t>
      </w:r>
      <w:r w:rsidR="000034E1">
        <w:rPr>
          <w:rFonts w:ascii="Times" w:hAnsi="Times"/>
        </w:rPr>
        <w:t>21/11 (a aceitação ocorreu a 22/</w:t>
      </w:r>
      <w:r w:rsidR="00B26173">
        <w:rPr>
          <w:rFonts w:ascii="Times" w:hAnsi="Times"/>
        </w:rPr>
        <w:t xml:space="preserve">11). A consequência que daqui resulta pode ser a qualificação da aceitação como nova proposta contratual, </w:t>
      </w:r>
      <w:r w:rsidR="00303530">
        <w:rPr>
          <w:rFonts w:ascii="Times" w:hAnsi="Times"/>
        </w:rPr>
        <w:t>automaticamente contendo todos os</w:t>
      </w:r>
      <w:r w:rsidR="00B26173">
        <w:rPr>
          <w:rFonts w:ascii="Times" w:hAnsi="Times"/>
        </w:rPr>
        <w:t xml:space="preserve"> requisitos necessários (nesta lógica, </w:t>
      </w:r>
      <w:r w:rsidR="00303530">
        <w:rPr>
          <w:rFonts w:ascii="Times" w:hAnsi="Times"/>
        </w:rPr>
        <w:t xml:space="preserve">a resposta subsequente de H.S. pode valer como aceitação). </w:t>
      </w:r>
      <w:r w:rsidR="004F702A">
        <w:rPr>
          <w:rFonts w:ascii="Times" w:hAnsi="Times"/>
        </w:rPr>
        <w:t xml:space="preserve">Quanto à categoria contratual, a empreitada </w:t>
      </w:r>
      <w:r w:rsidR="00A91DAD">
        <w:rPr>
          <w:rFonts w:ascii="Times" w:hAnsi="Times"/>
        </w:rPr>
        <w:t>em análise celebrou-se à distância</w:t>
      </w:r>
      <w:r w:rsidR="00B37613">
        <w:rPr>
          <w:rFonts w:ascii="Times" w:hAnsi="Times"/>
        </w:rPr>
        <w:t xml:space="preserve"> visto que, por um lado, foram utilizadas técnicas de comunicação à distância (</w:t>
      </w:r>
      <w:r w:rsidR="00B37613">
        <w:rPr>
          <w:rFonts w:ascii="Times" w:hAnsi="Times"/>
          <w:i/>
        </w:rPr>
        <w:t>WhatsApp</w:t>
      </w:r>
      <w:r w:rsidR="00B37613">
        <w:rPr>
          <w:rFonts w:ascii="Times" w:hAnsi="Times"/>
          <w:iCs/>
        </w:rPr>
        <w:t>) e, por outro, n</w:t>
      </w:r>
      <w:r w:rsidR="00BF2C01">
        <w:rPr>
          <w:rFonts w:ascii="Times" w:hAnsi="Times"/>
          <w:iCs/>
        </w:rPr>
        <w:t xml:space="preserve">ão envolveu a presença física simultânea dos contraentes (estão, portanto, reunidos os requisitos do </w:t>
      </w:r>
      <w:proofErr w:type="spellStart"/>
      <w:r w:rsidR="00BF2C01">
        <w:rPr>
          <w:rFonts w:ascii="Times" w:hAnsi="Times"/>
          <w:iCs/>
        </w:rPr>
        <w:t>art</w:t>
      </w:r>
      <w:proofErr w:type="spellEnd"/>
      <w:r w:rsidR="00BF2C01">
        <w:rPr>
          <w:rFonts w:ascii="Times" w:hAnsi="Times"/>
          <w:iCs/>
        </w:rPr>
        <w:t xml:space="preserve">. </w:t>
      </w:r>
      <w:r w:rsidR="001A3318">
        <w:rPr>
          <w:rFonts w:ascii="Times" w:hAnsi="Times"/>
          <w:iCs/>
        </w:rPr>
        <w:t xml:space="preserve">3.º, al. f) do DL </w:t>
      </w:r>
      <w:r w:rsidR="00CA066B">
        <w:rPr>
          <w:rFonts w:ascii="Times" w:hAnsi="Times"/>
          <w:iCs/>
        </w:rPr>
        <w:t>24/2014</w:t>
      </w:r>
      <w:r w:rsidR="00B66B45">
        <w:rPr>
          <w:rFonts w:ascii="Times" w:hAnsi="Times"/>
          <w:iCs/>
        </w:rPr>
        <w:t>)</w:t>
      </w:r>
      <w:r w:rsidR="00CA066B">
        <w:rPr>
          <w:rFonts w:ascii="Times" w:hAnsi="Times"/>
          <w:iCs/>
        </w:rPr>
        <w:t>.</w:t>
      </w:r>
      <w:r w:rsidR="007F5387">
        <w:rPr>
          <w:rFonts w:ascii="Times" w:hAnsi="Times"/>
          <w:iCs/>
        </w:rPr>
        <w:t xml:space="preserve"> </w:t>
      </w:r>
    </w:p>
    <w:p w14:paraId="029F2846" w14:textId="1650A1FA" w:rsidR="00374A2D" w:rsidRDefault="00B66B45" w:rsidP="007F6145">
      <w:pPr>
        <w:spacing w:line="360" w:lineRule="auto"/>
        <w:jc w:val="both"/>
        <w:rPr>
          <w:rFonts w:ascii="Times" w:hAnsi="Times"/>
          <w:iCs/>
        </w:rPr>
      </w:pPr>
      <w:r>
        <w:rPr>
          <w:rFonts w:ascii="Times" w:hAnsi="Times"/>
          <w:iCs/>
        </w:rPr>
        <w:t xml:space="preserve">2. </w:t>
      </w:r>
      <w:r w:rsidR="007F5387">
        <w:rPr>
          <w:rFonts w:ascii="Times" w:hAnsi="Times"/>
          <w:iCs/>
        </w:rPr>
        <w:t>De notar que</w:t>
      </w:r>
      <w:r w:rsidR="00A50596">
        <w:rPr>
          <w:rFonts w:ascii="Times" w:hAnsi="Times"/>
          <w:iCs/>
        </w:rPr>
        <w:t xml:space="preserve"> d</w:t>
      </w:r>
      <w:r w:rsidR="007F5387">
        <w:rPr>
          <w:rFonts w:ascii="Times" w:hAnsi="Times"/>
          <w:iCs/>
        </w:rPr>
        <w:t xml:space="preserve">o orçamento </w:t>
      </w:r>
      <w:r w:rsidR="00A50596">
        <w:rPr>
          <w:rFonts w:ascii="Times" w:hAnsi="Times"/>
          <w:iCs/>
        </w:rPr>
        <w:t>elaborado por H.S. devem constar as informações elencadas</w:t>
      </w:r>
      <w:r w:rsidR="00811D19">
        <w:rPr>
          <w:rFonts w:ascii="Times" w:hAnsi="Times"/>
          <w:iCs/>
        </w:rPr>
        <w:t xml:space="preserve"> no </w:t>
      </w:r>
      <w:proofErr w:type="spellStart"/>
      <w:r w:rsidR="00811D19">
        <w:rPr>
          <w:rFonts w:ascii="Times" w:hAnsi="Times"/>
          <w:iCs/>
        </w:rPr>
        <w:t>art</w:t>
      </w:r>
      <w:proofErr w:type="spellEnd"/>
      <w:r w:rsidR="00811D19">
        <w:rPr>
          <w:rFonts w:ascii="Times" w:hAnsi="Times"/>
          <w:iCs/>
        </w:rPr>
        <w:t>. 4.º, n.º 1 do referido Decreto-Lei</w:t>
      </w:r>
      <w:r w:rsidR="00487BF1">
        <w:rPr>
          <w:rFonts w:ascii="Times" w:hAnsi="Times"/>
          <w:iCs/>
        </w:rPr>
        <w:t xml:space="preserve">, numa lógica pré-contratual, </w:t>
      </w:r>
      <w:r w:rsidR="00487BF1">
        <w:rPr>
          <w:rFonts w:ascii="Times" w:hAnsi="Times"/>
          <w:i/>
        </w:rPr>
        <w:t>i.e.</w:t>
      </w:r>
      <w:r w:rsidR="00487BF1">
        <w:rPr>
          <w:rFonts w:ascii="Times" w:hAnsi="Times"/>
          <w:iCs/>
        </w:rPr>
        <w:t>, o consumidor deve ter acesso àquelas informações antes de se vincular</w:t>
      </w:r>
      <w:r w:rsidR="007E12D5">
        <w:rPr>
          <w:rFonts w:ascii="Times" w:hAnsi="Times"/>
          <w:iCs/>
        </w:rPr>
        <w:t xml:space="preserve"> (esta exigência é reforçada pelo </w:t>
      </w:r>
      <w:proofErr w:type="spellStart"/>
      <w:r w:rsidR="007E12D5">
        <w:rPr>
          <w:rFonts w:ascii="Times" w:hAnsi="Times"/>
          <w:iCs/>
        </w:rPr>
        <w:t>art</w:t>
      </w:r>
      <w:proofErr w:type="spellEnd"/>
      <w:r w:rsidR="007E12D5">
        <w:rPr>
          <w:rFonts w:ascii="Times" w:hAnsi="Times"/>
          <w:iCs/>
        </w:rPr>
        <w:t xml:space="preserve">. </w:t>
      </w:r>
      <w:r w:rsidR="00735385">
        <w:rPr>
          <w:rFonts w:ascii="Times" w:hAnsi="Times"/>
          <w:iCs/>
        </w:rPr>
        <w:t>5.º, n.º 2)</w:t>
      </w:r>
      <w:r w:rsidR="00487BF1">
        <w:rPr>
          <w:rFonts w:ascii="Times" w:hAnsi="Times"/>
          <w:iCs/>
        </w:rPr>
        <w:t xml:space="preserve">. </w:t>
      </w:r>
      <w:r w:rsidR="005F6382">
        <w:rPr>
          <w:rFonts w:ascii="Times" w:hAnsi="Times"/>
          <w:iCs/>
        </w:rPr>
        <w:t xml:space="preserve">Da descrição do orçamento como “bastante bem discriminado” presume-se que </w:t>
      </w:r>
      <w:r>
        <w:rPr>
          <w:rFonts w:ascii="Times" w:hAnsi="Times"/>
          <w:iCs/>
        </w:rPr>
        <w:t>se</w:t>
      </w:r>
      <w:r w:rsidR="005F6382">
        <w:rPr>
          <w:rFonts w:ascii="Times" w:hAnsi="Times"/>
          <w:iCs/>
        </w:rPr>
        <w:t xml:space="preserve"> cumpre a exigência do </w:t>
      </w:r>
      <w:proofErr w:type="spellStart"/>
      <w:r w:rsidR="005F6382">
        <w:rPr>
          <w:rFonts w:ascii="Times" w:hAnsi="Times"/>
          <w:iCs/>
        </w:rPr>
        <w:t>art</w:t>
      </w:r>
      <w:proofErr w:type="spellEnd"/>
      <w:r w:rsidR="005F6382">
        <w:rPr>
          <w:rFonts w:ascii="Times" w:hAnsi="Times"/>
          <w:iCs/>
        </w:rPr>
        <w:t>. 4.º</w:t>
      </w:r>
      <w:r w:rsidR="00DD498E">
        <w:rPr>
          <w:rFonts w:ascii="Times" w:hAnsi="Times"/>
          <w:iCs/>
        </w:rPr>
        <w:t xml:space="preserve">, à exceção </w:t>
      </w:r>
      <w:r>
        <w:rPr>
          <w:rFonts w:ascii="Times" w:hAnsi="Times"/>
          <w:iCs/>
        </w:rPr>
        <w:t>da circunstância rel</w:t>
      </w:r>
      <w:r w:rsidR="00473EC2">
        <w:rPr>
          <w:rFonts w:ascii="Times" w:hAnsi="Times"/>
          <w:iCs/>
        </w:rPr>
        <w:t xml:space="preserve">ativa ao valor adicional referente ao IVA. Com efeito, se o profissional não indicou, na sua proposta </w:t>
      </w:r>
      <w:r w:rsidR="00243BB1">
        <w:rPr>
          <w:rFonts w:ascii="Times" w:hAnsi="Times"/>
          <w:iCs/>
        </w:rPr>
        <w:t xml:space="preserve">constante do orçamento, </w:t>
      </w:r>
      <w:r w:rsidR="009D099B">
        <w:rPr>
          <w:rFonts w:ascii="Times" w:hAnsi="Times"/>
          <w:iCs/>
        </w:rPr>
        <w:t>“o preço total do serviço</w:t>
      </w:r>
      <w:r w:rsidR="009739A6">
        <w:rPr>
          <w:rFonts w:ascii="Times" w:hAnsi="Times"/>
          <w:iCs/>
        </w:rPr>
        <w:t xml:space="preserve">, incluindo taxas e impostos”, não cumpre a al. e) do </w:t>
      </w:r>
      <w:proofErr w:type="spellStart"/>
      <w:r w:rsidR="009739A6">
        <w:rPr>
          <w:rFonts w:ascii="Times" w:hAnsi="Times"/>
          <w:iCs/>
        </w:rPr>
        <w:t>art</w:t>
      </w:r>
      <w:proofErr w:type="spellEnd"/>
      <w:r w:rsidR="009739A6">
        <w:rPr>
          <w:rFonts w:ascii="Times" w:hAnsi="Times"/>
          <w:iCs/>
        </w:rPr>
        <w:t xml:space="preserve">. 4.º. </w:t>
      </w:r>
      <w:r w:rsidR="004347FB">
        <w:rPr>
          <w:rFonts w:ascii="Times" w:hAnsi="Times"/>
          <w:iCs/>
        </w:rPr>
        <w:t xml:space="preserve">Donde, nos termos do n.º 4 do mesmo artigo, o consumidor </w:t>
      </w:r>
      <w:r w:rsidR="002023D8">
        <w:rPr>
          <w:rFonts w:ascii="Times" w:hAnsi="Times"/>
          <w:iCs/>
        </w:rPr>
        <w:t xml:space="preserve">fica “desobrigado” dos encargos adicionais relativos ao pagamento do IVA. </w:t>
      </w:r>
    </w:p>
    <w:p w14:paraId="07066EC5" w14:textId="5F542233" w:rsidR="00CF0CA7" w:rsidRDefault="00B06032" w:rsidP="007F6145">
      <w:pPr>
        <w:spacing w:line="360" w:lineRule="auto"/>
        <w:jc w:val="both"/>
        <w:rPr>
          <w:rFonts w:ascii="Times" w:hAnsi="Times"/>
          <w:iCs/>
        </w:rPr>
      </w:pPr>
      <w:r>
        <w:rPr>
          <w:rFonts w:ascii="Times" w:hAnsi="Times"/>
          <w:iCs/>
        </w:rPr>
        <w:t xml:space="preserve">3. </w:t>
      </w:r>
      <w:r w:rsidR="009F48CC">
        <w:rPr>
          <w:rFonts w:ascii="Times" w:hAnsi="Times"/>
          <w:iCs/>
        </w:rPr>
        <w:t xml:space="preserve">As questões suscitadas a propósito das tintas e do móvel remetem-nos para </w:t>
      </w:r>
      <w:r w:rsidR="00922EED">
        <w:rPr>
          <w:rFonts w:ascii="Times" w:hAnsi="Times"/>
          <w:iCs/>
        </w:rPr>
        <w:t xml:space="preserve">o DL 67/2003 e para a noção de desconformidade. Antes de mais, cumpre mencionar que o Decreto se aplica a </w:t>
      </w:r>
      <w:r w:rsidR="00345D88">
        <w:rPr>
          <w:rFonts w:ascii="Times" w:hAnsi="Times"/>
          <w:iCs/>
        </w:rPr>
        <w:t>“</w:t>
      </w:r>
      <w:r w:rsidR="00BA0501">
        <w:rPr>
          <w:rFonts w:ascii="Times" w:hAnsi="Times"/>
          <w:iCs/>
        </w:rPr>
        <w:t>bens de consumo fornecido no âmbito de um contrato de empreitada” (</w:t>
      </w:r>
      <w:proofErr w:type="spellStart"/>
      <w:r w:rsidR="00BA0501">
        <w:rPr>
          <w:rFonts w:ascii="Times" w:hAnsi="Times"/>
          <w:iCs/>
        </w:rPr>
        <w:t>art</w:t>
      </w:r>
      <w:proofErr w:type="spellEnd"/>
      <w:r w:rsidR="00BA0501">
        <w:rPr>
          <w:rFonts w:ascii="Times" w:hAnsi="Times"/>
          <w:iCs/>
        </w:rPr>
        <w:t xml:space="preserve">. 1.º-A, n.º 2) </w:t>
      </w:r>
      <w:r w:rsidR="00397BFA">
        <w:rPr>
          <w:rFonts w:ascii="Times" w:hAnsi="Times"/>
          <w:iCs/>
        </w:rPr>
        <w:t>celebrado entre profissionais e consumidores</w:t>
      </w:r>
      <w:r w:rsidR="001501EB">
        <w:rPr>
          <w:rFonts w:ascii="Times" w:hAnsi="Times"/>
          <w:iCs/>
        </w:rPr>
        <w:t xml:space="preserve">. Ora, </w:t>
      </w:r>
      <w:r w:rsidR="001501EB">
        <w:rPr>
          <w:rFonts w:ascii="Times" w:hAnsi="Times"/>
          <w:i/>
        </w:rPr>
        <w:t xml:space="preserve">in </w:t>
      </w:r>
      <w:proofErr w:type="spellStart"/>
      <w:r w:rsidR="001501EB">
        <w:rPr>
          <w:rFonts w:ascii="Times" w:hAnsi="Times"/>
          <w:i/>
        </w:rPr>
        <w:t>casu</w:t>
      </w:r>
      <w:proofErr w:type="spellEnd"/>
      <w:r w:rsidR="001501EB">
        <w:rPr>
          <w:rFonts w:ascii="Times" w:hAnsi="Times"/>
          <w:iCs/>
        </w:rPr>
        <w:t xml:space="preserve">, M. parece preencher a noção de consumidor do </w:t>
      </w:r>
      <w:proofErr w:type="spellStart"/>
      <w:r w:rsidR="001501EB">
        <w:rPr>
          <w:rFonts w:ascii="Times" w:hAnsi="Times"/>
          <w:iCs/>
        </w:rPr>
        <w:t>art</w:t>
      </w:r>
      <w:proofErr w:type="spellEnd"/>
      <w:r w:rsidR="001501EB">
        <w:rPr>
          <w:rFonts w:ascii="Times" w:hAnsi="Times"/>
          <w:iCs/>
        </w:rPr>
        <w:t xml:space="preserve">. </w:t>
      </w:r>
      <w:r w:rsidR="000C5A54">
        <w:rPr>
          <w:rFonts w:ascii="Times" w:hAnsi="Times"/>
          <w:iCs/>
        </w:rPr>
        <w:t>1.º-B, al. a)</w:t>
      </w:r>
      <w:r w:rsidR="00F80D99">
        <w:rPr>
          <w:rFonts w:ascii="Times" w:hAnsi="Times"/>
          <w:iCs/>
        </w:rPr>
        <w:t xml:space="preserve">, </w:t>
      </w:r>
      <w:r w:rsidR="00590749">
        <w:rPr>
          <w:rFonts w:ascii="Times" w:hAnsi="Times"/>
          <w:iCs/>
        </w:rPr>
        <w:t xml:space="preserve">também nos pronunciando no mesmo sentido em relação a H.S. e ao conceito de </w:t>
      </w:r>
      <w:r w:rsidR="00F513EE">
        <w:rPr>
          <w:rFonts w:ascii="Times" w:hAnsi="Times"/>
          <w:iCs/>
        </w:rPr>
        <w:t>vendedor da al. c) do mesmo artigo</w:t>
      </w:r>
      <w:r w:rsidR="00F80D99">
        <w:rPr>
          <w:rFonts w:ascii="Times" w:hAnsi="Times"/>
          <w:iCs/>
        </w:rPr>
        <w:t xml:space="preserve">. </w:t>
      </w:r>
      <w:r w:rsidR="00E352A8">
        <w:rPr>
          <w:rFonts w:ascii="Times" w:hAnsi="Times"/>
          <w:iCs/>
        </w:rPr>
        <w:lastRenderedPageBreak/>
        <w:t>Em relação às tintas</w:t>
      </w:r>
      <w:r w:rsidR="00F47680">
        <w:rPr>
          <w:rFonts w:ascii="Times" w:hAnsi="Times"/>
          <w:iCs/>
        </w:rPr>
        <w:t xml:space="preserve">, a H.S. estava vinculada a cumprir a prestação de serviços </w:t>
      </w:r>
      <w:r w:rsidR="009F6B7B">
        <w:rPr>
          <w:rFonts w:ascii="Times" w:hAnsi="Times"/>
          <w:iCs/>
        </w:rPr>
        <w:t>utilizando tintas conformes ao contrato</w:t>
      </w:r>
      <w:r w:rsidR="00FF3C90">
        <w:rPr>
          <w:rFonts w:ascii="Times" w:hAnsi="Times"/>
          <w:iCs/>
        </w:rPr>
        <w:t xml:space="preserve"> (</w:t>
      </w:r>
      <w:proofErr w:type="spellStart"/>
      <w:r w:rsidR="00FF3C90">
        <w:rPr>
          <w:rFonts w:ascii="Times" w:hAnsi="Times"/>
          <w:iCs/>
        </w:rPr>
        <w:t>art</w:t>
      </w:r>
      <w:proofErr w:type="spellEnd"/>
      <w:r w:rsidR="00FF3C90">
        <w:rPr>
          <w:rFonts w:ascii="Times" w:hAnsi="Times"/>
          <w:iCs/>
        </w:rPr>
        <w:t>. 2</w:t>
      </w:r>
      <w:r w:rsidR="00F80D99">
        <w:rPr>
          <w:rFonts w:ascii="Times" w:hAnsi="Times"/>
          <w:iCs/>
        </w:rPr>
        <w:t xml:space="preserve">.º, n.º </w:t>
      </w:r>
      <w:r w:rsidR="00FF3C90">
        <w:rPr>
          <w:rFonts w:ascii="Times" w:hAnsi="Times"/>
          <w:iCs/>
        </w:rPr>
        <w:t>1)</w:t>
      </w:r>
      <w:r w:rsidR="009F6B7B">
        <w:rPr>
          <w:rFonts w:ascii="Times" w:hAnsi="Times"/>
          <w:iCs/>
        </w:rPr>
        <w:t xml:space="preserve"> – o mesmo é dizer: tintas </w:t>
      </w:r>
      <w:proofErr w:type="spellStart"/>
      <w:r w:rsidR="009F6B7B">
        <w:rPr>
          <w:rFonts w:ascii="Times" w:hAnsi="Times"/>
          <w:iCs/>
        </w:rPr>
        <w:t>Robin</w:t>
      </w:r>
      <w:proofErr w:type="spellEnd"/>
      <w:r w:rsidR="009F6B7B">
        <w:rPr>
          <w:rFonts w:ascii="Times" w:hAnsi="Times"/>
          <w:iCs/>
        </w:rPr>
        <w:t xml:space="preserve">-e-a-Laca, já que foram tais tintas a ser </w:t>
      </w:r>
      <w:r w:rsidR="00FF3C90">
        <w:rPr>
          <w:rFonts w:ascii="Times" w:hAnsi="Times"/>
          <w:iCs/>
        </w:rPr>
        <w:t>contratualmente estipuladas. Não acontecendo</w:t>
      </w:r>
      <w:r w:rsidR="00A965D4">
        <w:rPr>
          <w:rFonts w:ascii="Times" w:hAnsi="Times"/>
          <w:iCs/>
        </w:rPr>
        <w:t>,</w:t>
      </w:r>
      <w:r w:rsidR="00FF3C90">
        <w:rPr>
          <w:rFonts w:ascii="Times" w:hAnsi="Times"/>
          <w:iCs/>
        </w:rPr>
        <w:t xml:space="preserve"> verifica-se uma desconformidade abrangida </w:t>
      </w:r>
      <w:r w:rsidR="00A965D4">
        <w:rPr>
          <w:rFonts w:ascii="Times" w:hAnsi="Times"/>
          <w:iCs/>
        </w:rPr>
        <w:t xml:space="preserve">pelas </w:t>
      </w:r>
      <w:proofErr w:type="spellStart"/>
      <w:r w:rsidR="00A965D4">
        <w:rPr>
          <w:rFonts w:ascii="Times" w:hAnsi="Times"/>
          <w:iCs/>
        </w:rPr>
        <w:t>als</w:t>
      </w:r>
      <w:proofErr w:type="spellEnd"/>
      <w:r w:rsidR="00A965D4">
        <w:rPr>
          <w:rFonts w:ascii="Times" w:hAnsi="Times"/>
          <w:iCs/>
        </w:rPr>
        <w:t xml:space="preserve">. a), b) e d) do n.º 2 do </w:t>
      </w:r>
      <w:proofErr w:type="spellStart"/>
      <w:r w:rsidR="00A965D4">
        <w:rPr>
          <w:rFonts w:ascii="Times" w:hAnsi="Times"/>
          <w:iCs/>
        </w:rPr>
        <w:t>art</w:t>
      </w:r>
      <w:proofErr w:type="spellEnd"/>
      <w:r w:rsidR="00A965D4">
        <w:rPr>
          <w:rFonts w:ascii="Times" w:hAnsi="Times"/>
          <w:iCs/>
        </w:rPr>
        <w:t xml:space="preserve">. 2.º. </w:t>
      </w:r>
      <w:r w:rsidR="0037470E">
        <w:rPr>
          <w:rFonts w:ascii="Times" w:hAnsi="Times"/>
          <w:iCs/>
        </w:rPr>
        <w:t xml:space="preserve">Ora, </w:t>
      </w:r>
      <w:r w:rsidR="00117FE7">
        <w:rPr>
          <w:rFonts w:ascii="Times" w:hAnsi="Times"/>
          <w:iCs/>
        </w:rPr>
        <w:t>as tintas são para este efeito consideradas bem móvel, já que foram contratadas a esse título, independentemente de agora estarem incorporadas numa estrutura imóvel. Assim, M. goza de um prazo de dois anos (</w:t>
      </w:r>
      <w:proofErr w:type="spellStart"/>
      <w:r w:rsidR="00A837E1">
        <w:rPr>
          <w:rFonts w:ascii="Times" w:hAnsi="Times"/>
          <w:iCs/>
        </w:rPr>
        <w:t>art</w:t>
      </w:r>
      <w:proofErr w:type="spellEnd"/>
      <w:r w:rsidR="00A837E1">
        <w:rPr>
          <w:rFonts w:ascii="Times" w:hAnsi="Times"/>
          <w:iCs/>
        </w:rPr>
        <w:t xml:space="preserve">. 5.º, n.º 2) </w:t>
      </w:r>
      <w:r w:rsidR="00117FE7">
        <w:rPr>
          <w:rFonts w:ascii="Times" w:hAnsi="Times"/>
          <w:iCs/>
        </w:rPr>
        <w:t xml:space="preserve">para exercer os seus direitos </w:t>
      </w:r>
      <w:r w:rsidR="00A837E1">
        <w:rPr>
          <w:rFonts w:ascii="Times" w:hAnsi="Times"/>
          <w:iCs/>
        </w:rPr>
        <w:t xml:space="preserve">previstos no </w:t>
      </w:r>
      <w:proofErr w:type="spellStart"/>
      <w:r w:rsidR="00A837E1">
        <w:rPr>
          <w:rFonts w:ascii="Times" w:hAnsi="Times"/>
          <w:iCs/>
        </w:rPr>
        <w:t>art</w:t>
      </w:r>
      <w:proofErr w:type="spellEnd"/>
      <w:r w:rsidR="00A837E1">
        <w:rPr>
          <w:rFonts w:ascii="Times" w:hAnsi="Times"/>
          <w:iCs/>
        </w:rPr>
        <w:t xml:space="preserve">. </w:t>
      </w:r>
      <w:r w:rsidR="00871E81">
        <w:rPr>
          <w:rFonts w:ascii="Times" w:hAnsi="Times"/>
          <w:iCs/>
        </w:rPr>
        <w:t xml:space="preserve">4.º, n.º 1. O momento relevante é abril de 2020, não passaram, portanto, os dois anos mencionados, pelo que a desconformidade se </w:t>
      </w:r>
      <w:r w:rsidR="006A2BC4">
        <w:rPr>
          <w:rFonts w:ascii="Times" w:hAnsi="Times"/>
          <w:iCs/>
        </w:rPr>
        <w:t>presume automaticamente existente na data do término da obra (</w:t>
      </w:r>
      <w:proofErr w:type="spellStart"/>
      <w:r w:rsidR="006A2BC4">
        <w:rPr>
          <w:rFonts w:ascii="Times" w:hAnsi="Times"/>
          <w:iCs/>
        </w:rPr>
        <w:t>art</w:t>
      </w:r>
      <w:proofErr w:type="spellEnd"/>
      <w:r w:rsidR="006A2BC4">
        <w:rPr>
          <w:rFonts w:ascii="Times" w:hAnsi="Times"/>
          <w:iCs/>
        </w:rPr>
        <w:t>. 3.º, n.º 2). Acontece, porém, que M. teve conhecimento da desconformidade na pendência da execução da empreitada</w:t>
      </w:r>
      <w:r w:rsidR="0095392B">
        <w:rPr>
          <w:rFonts w:ascii="Times" w:hAnsi="Times"/>
          <w:iCs/>
        </w:rPr>
        <w:t>. Ora, tendo as obras terminado a 23 de dezembro e M. conhecido da desconformidade antes desse período, já nada pode fazer</w:t>
      </w:r>
      <w:r w:rsidR="008C53C6">
        <w:rPr>
          <w:rFonts w:ascii="Times" w:hAnsi="Times"/>
          <w:iCs/>
        </w:rPr>
        <w:t xml:space="preserve"> em pleno mês de abril</w:t>
      </w:r>
      <w:r w:rsidR="0095392B">
        <w:rPr>
          <w:rFonts w:ascii="Times" w:hAnsi="Times"/>
          <w:iCs/>
        </w:rPr>
        <w:t xml:space="preserve">, já que, segundo o </w:t>
      </w:r>
      <w:proofErr w:type="spellStart"/>
      <w:r w:rsidR="0095392B">
        <w:rPr>
          <w:rFonts w:ascii="Times" w:hAnsi="Times"/>
          <w:iCs/>
        </w:rPr>
        <w:t>art</w:t>
      </w:r>
      <w:proofErr w:type="spellEnd"/>
      <w:r w:rsidR="0095392B">
        <w:rPr>
          <w:rFonts w:ascii="Times" w:hAnsi="Times"/>
          <w:iCs/>
        </w:rPr>
        <w:t xml:space="preserve">. </w:t>
      </w:r>
      <w:r w:rsidR="008C53C6">
        <w:rPr>
          <w:rFonts w:ascii="Times" w:hAnsi="Times"/>
          <w:iCs/>
        </w:rPr>
        <w:t>5.º-A, n.º 2, “</w:t>
      </w:r>
      <w:r w:rsidR="008C53C6" w:rsidRPr="008C53C6">
        <w:rPr>
          <w:rFonts w:ascii="Times" w:hAnsi="Times"/>
          <w:iCs/>
        </w:rPr>
        <w:t>o consumidor deve denunciar ao vendedor a falta de conformidade num prazo de dois meses</w:t>
      </w:r>
      <w:r w:rsidR="008C53C6">
        <w:rPr>
          <w:rFonts w:ascii="Times" w:hAnsi="Times"/>
          <w:iCs/>
        </w:rPr>
        <w:t>”.</w:t>
      </w:r>
      <w:r w:rsidR="0038520A">
        <w:rPr>
          <w:rFonts w:ascii="Times" w:hAnsi="Times"/>
          <w:iCs/>
        </w:rPr>
        <w:t xml:space="preserve"> Em relação ao móvel, é válido tudo o que </w:t>
      </w:r>
      <w:r w:rsidR="00A71966">
        <w:rPr>
          <w:rFonts w:ascii="Times" w:hAnsi="Times"/>
          <w:iCs/>
        </w:rPr>
        <w:t xml:space="preserve">se disse em relação às tintas, à exceção da questão relativa ao conhecimento da desconformidade: </w:t>
      </w:r>
      <w:r w:rsidR="00482283">
        <w:rPr>
          <w:rFonts w:ascii="Times" w:hAnsi="Times"/>
          <w:iCs/>
        </w:rPr>
        <w:t xml:space="preserve">há desconformidade nos termos das </w:t>
      </w:r>
      <w:proofErr w:type="spellStart"/>
      <w:r w:rsidR="00482283">
        <w:rPr>
          <w:rFonts w:ascii="Times" w:hAnsi="Times"/>
          <w:iCs/>
        </w:rPr>
        <w:t>als</w:t>
      </w:r>
      <w:proofErr w:type="spellEnd"/>
      <w:r w:rsidR="00482283">
        <w:rPr>
          <w:rFonts w:ascii="Times" w:hAnsi="Times"/>
          <w:iCs/>
        </w:rPr>
        <w:t xml:space="preserve">. c) e d) do n.º 2 do </w:t>
      </w:r>
      <w:proofErr w:type="spellStart"/>
      <w:r w:rsidR="00482283">
        <w:rPr>
          <w:rFonts w:ascii="Times" w:hAnsi="Times"/>
          <w:iCs/>
        </w:rPr>
        <w:t>art</w:t>
      </w:r>
      <w:proofErr w:type="spellEnd"/>
      <w:r w:rsidR="00482283">
        <w:rPr>
          <w:rFonts w:ascii="Times" w:hAnsi="Times"/>
          <w:iCs/>
        </w:rPr>
        <w:t xml:space="preserve">. 2.º, que é verificada dentro do prazo de 2 anos existente. Assim, pode M. exercer os direitos previstos no </w:t>
      </w:r>
      <w:proofErr w:type="spellStart"/>
      <w:r w:rsidR="00482283">
        <w:rPr>
          <w:rFonts w:ascii="Times" w:hAnsi="Times"/>
          <w:iCs/>
        </w:rPr>
        <w:t>art</w:t>
      </w:r>
      <w:proofErr w:type="spellEnd"/>
      <w:r w:rsidR="00482283">
        <w:rPr>
          <w:rFonts w:ascii="Times" w:hAnsi="Times"/>
          <w:iCs/>
        </w:rPr>
        <w:t xml:space="preserve">. 4.º, n.º 1, sempre condicionado pelo </w:t>
      </w:r>
      <w:r w:rsidR="00043990">
        <w:rPr>
          <w:rFonts w:ascii="Times" w:hAnsi="Times"/>
          <w:iCs/>
        </w:rPr>
        <w:t>abuso de direito (</w:t>
      </w:r>
      <w:proofErr w:type="spellStart"/>
      <w:r w:rsidR="00043990">
        <w:rPr>
          <w:rFonts w:ascii="Times" w:hAnsi="Times"/>
          <w:iCs/>
        </w:rPr>
        <w:t>art</w:t>
      </w:r>
      <w:proofErr w:type="spellEnd"/>
      <w:r w:rsidR="00043990">
        <w:rPr>
          <w:rFonts w:ascii="Times" w:hAnsi="Times"/>
          <w:iCs/>
        </w:rPr>
        <w:t xml:space="preserve">. 4.º, n.º 5 – o que aqui poderia levar a que M. não pudesse </w:t>
      </w:r>
      <w:proofErr w:type="spellStart"/>
      <w:r w:rsidR="00043990">
        <w:rPr>
          <w:rFonts w:ascii="Times" w:hAnsi="Times"/>
          <w:i/>
        </w:rPr>
        <w:t>ab</w:t>
      </w:r>
      <w:proofErr w:type="spellEnd"/>
      <w:r w:rsidR="00043990">
        <w:rPr>
          <w:rFonts w:ascii="Times" w:hAnsi="Times"/>
          <w:i/>
        </w:rPr>
        <w:t xml:space="preserve"> </w:t>
      </w:r>
      <w:proofErr w:type="spellStart"/>
      <w:r w:rsidR="00043990">
        <w:rPr>
          <w:rFonts w:ascii="Times" w:hAnsi="Times"/>
          <w:i/>
        </w:rPr>
        <w:t>initio</w:t>
      </w:r>
      <w:proofErr w:type="spellEnd"/>
      <w:r w:rsidR="00043990">
        <w:rPr>
          <w:rFonts w:ascii="Times" w:hAnsi="Times"/>
          <w:i/>
        </w:rPr>
        <w:t xml:space="preserve"> </w:t>
      </w:r>
      <w:r w:rsidR="00CF0CA7">
        <w:rPr>
          <w:rFonts w:ascii="Times" w:hAnsi="Times"/>
          <w:iCs/>
        </w:rPr>
        <w:t xml:space="preserve">resolver o contrato). </w:t>
      </w:r>
    </w:p>
    <w:p w14:paraId="2E62B4EF" w14:textId="1EE20CAF" w:rsidR="00B06032" w:rsidRPr="005473BA" w:rsidRDefault="00CF0CA7" w:rsidP="007F6145">
      <w:pPr>
        <w:spacing w:line="360" w:lineRule="auto"/>
        <w:jc w:val="both"/>
        <w:rPr>
          <w:rFonts w:ascii="Times" w:hAnsi="Times"/>
          <w:iCs/>
        </w:rPr>
      </w:pPr>
      <w:r>
        <w:rPr>
          <w:rFonts w:ascii="Times" w:hAnsi="Times"/>
          <w:iCs/>
        </w:rPr>
        <w:t xml:space="preserve">4. </w:t>
      </w:r>
      <w:r w:rsidR="00EA0CE4">
        <w:rPr>
          <w:rFonts w:ascii="Times" w:hAnsi="Times"/>
          <w:iCs/>
        </w:rPr>
        <w:t xml:space="preserve">Em relação às prestações do crédito, </w:t>
      </w:r>
      <w:r w:rsidR="002B7A6B">
        <w:rPr>
          <w:rFonts w:ascii="Times" w:hAnsi="Times"/>
          <w:iCs/>
        </w:rPr>
        <w:t>está em causa a hipotética aplicação do DL 133/2009.</w:t>
      </w:r>
      <w:r w:rsidR="00F80D99">
        <w:rPr>
          <w:rFonts w:ascii="Times" w:hAnsi="Times"/>
          <w:iCs/>
        </w:rPr>
        <w:t xml:space="preserve"> V</w:t>
      </w:r>
      <w:r w:rsidR="00F13BF3">
        <w:rPr>
          <w:rFonts w:ascii="Times" w:hAnsi="Times"/>
          <w:iCs/>
        </w:rPr>
        <w:t>erifica</w:t>
      </w:r>
      <w:r w:rsidR="00F80D99">
        <w:rPr>
          <w:rFonts w:ascii="Times" w:hAnsi="Times"/>
          <w:iCs/>
        </w:rPr>
        <w:t>-se</w:t>
      </w:r>
      <w:r w:rsidR="00F13BF3">
        <w:rPr>
          <w:rFonts w:ascii="Times" w:hAnsi="Times"/>
          <w:iCs/>
        </w:rPr>
        <w:t xml:space="preserve"> o </w:t>
      </w:r>
      <w:proofErr w:type="spellStart"/>
      <w:r w:rsidR="00F13BF3">
        <w:rPr>
          <w:rFonts w:ascii="Times" w:hAnsi="Times"/>
          <w:iCs/>
        </w:rPr>
        <w:t>art</w:t>
      </w:r>
      <w:proofErr w:type="spellEnd"/>
      <w:r w:rsidR="00F13BF3">
        <w:rPr>
          <w:rFonts w:ascii="Times" w:hAnsi="Times"/>
          <w:iCs/>
        </w:rPr>
        <w:t>. 1.º, n.º 2</w:t>
      </w:r>
      <w:r w:rsidR="00F80D99">
        <w:rPr>
          <w:rFonts w:ascii="Times" w:hAnsi="Times"/>
          <w:iCs/>
        </w:rPr>
        <w:t xml:space="preserve"> </w:t>
      </w:r>
      <w:r w:rsidR="00F13BF3">
        <w:rPr>
          <w:rFonts w:ascii="Times" w:hAnsi="Times"/>
          <w:iCs/>
        </w:rPr>
        <w:t xml:space="preserve">e </w:t>
      </w:r>
      <w:r w:rsidR="00E2635C">
        <w:rPr>
          <w:rFonts w:ascii="Times" w:hAnsi="Times"/>
          <w:iCs/>
        </w:rPr>
        <w:t xml:space="preserve">M. </w:t>
      </w:r>
      <w:r w:rsidR="002B7A6B">
        <w:rPr>
          <w:rFonts w:ascii="Times" w:hAnsi="Times"/>
          <w:iCs/>
        </w:rPr>
        <w:t xml:space="preserve">celebra um contrato de crédito nos termos do </w:t>
      </w:r>
      <w:proofErr w:type="spellStart"/>
      <w:r w:rsidR="002B7A6B">
        <w:rPr>
          <w:rFonts w:ascii="Times" w:hAnsi="Times"/>
          <w:iCs/>
        </w:rPr>
        <w:t>art</w:t>
      </w:r>
      <w:proofErr w:type="spellEnd"/>
      <w:r w:rsidR="002B7A6B">
        <w:rPr>
          <w:rFonts w:ascii="Times" w:hAnsi="Times"/>
          <w:iCs/>
        </w:rPr>
        <w:t xml:space="preserve">. </w:t>
      </w:r>
      <w:r w:rsidR="009C05F1">
        <w:rPr>
          <w:rFonts w:ascii="Times" w:hAnsi="Times"/>
          <w:iCs/>
        </w:rPr>
        <w:t>4.º, n.º 1, al. c)</w:t>
      </w:r>
      <w:r w:rsidR="00F13BF3">
        <w:rPr>
          <w:rFonts w:ascii="Times" w:hAnsi="Times"/>
          <w:iCs/>
        </w:rPr>
        <w:t xml:space="preserve">. Ainda assim, para </w:t>
      </w:r>
      <w:r w:rsidR="00E2635C">
        <w:rPr>
          <w:rFonts w:ascii="Times" w:hAnsi="Times"/>
          <w:iCs/>
        </w:rPr>
        <w:t xml:space="preserve">exercer os direitos conferidos pelo </w:t>
      </w:r>
      <w:proofErr w:type="spellStart"/>
      <w:r w:rsidR="00E2635C">
        <w:rPr>
          <w:rFonts w:ascii="Times" w:hAnsi="Times"/>
          <w:iCs/>
        </w:rPr>
        <w:t>art</w:t>
      </w:r>
      <w:proofErr w:type="spellEnd"/>
      <w:r w:rsidR="00E2635C">
        <w:rPr>
          <w:rFonts w:ascii="Times" w:hAnsi="Times"/>
          <w:iCs/>
        </w:rPr>
        <w:t>. 18.º, n.º 3</w:t>
      </w:r>
      <w:r w:rsidR="00F13BF3">
        <w:rPr>
          <w:rFonts w:ascii="Times" w:hAnsi="Times"/>
          <w:iCs/>
        </w:rPr>
        <w:t>, tem de existir</w:t>
      </w:r>
      <w:r w:rsidR="00E2635C">
        <w:rPr>
          <w:rFonts w:ascii="Times" w:hAnsi="Times"/>
          <w:iCs/>
        </w:rPr>
        <w:t xml:space="preserve"> um contrato de crédito coligado. Ora, nos termos d</w:t>
      </w:r>
      <w:r w:rsidR="00A02C5E">
        <w:rPr>
          <w:rFonts w:ascii="Times" w:hAnsi="Times"/>
          <w:iCs/>
        </w:rPr>
        <w:t xml:space="preserve">a al. o) do n.º 1 do </w:t>
      </w:r>
      <w:proofErr w:type="spellStart"/>
      <w:r w:rsidR="00A02C5E">
        <w:rPr>
          <w:rFonts w:ascii="Times" w:hAnsi="Times"/>
          <w:iCs/>
        </w:rPr>
        <w:t>art</w:t>
      </w:r>
      <w:proofErr w:type="spellEnd"/>
      <w:r w:rsidR="00A02C5E">
        <w:rPr>
          <w:rFonts w:ascii="Times" w:hAnsi="Times"/>
          <w:iCs/>
        </w:rPr>
        <w:t>. 4.º, para haver contrato de crédito coligado com o contrato de empreitada</w:t>
      </w:r>
      <w:r w:rsidR="008E1A66">
        <w:rPr>
          <w:rFonts w:ascii="Times" w:hAnsi="Times"/>
          <w:iCs/>
        </w:rPr>
        <w:t xml:space="preserve">, o primeiro teria de servir “exclusivamente” para </w:t>
      </w:r>
      <w:r w:rsidR="008E1A66">
        <w:rPr>
          <w:rFonts w:ascii="Times" w:hAnsi="Times"/>
          <w:i/>
        </w:rPr>
        <w:t xml:space="preserve">pagar </w:t>
      </w:r>
      <w:r w:rsidR="008E1A66">
        <w:rPr>
          <w:rFonts w:ascii="Times" w:hAnsi="Times"/>
          <w:iCs/>
        </w:rPr>
        <w:t>o segundo e, para além disso, teria de existir</w:t>
      </w:r>
      <w:r w:rsidR="00291C4D">
        <w:rPr>
          <w:rFonts w:ascii="Times" w:hAnsi="Times"/>
          <w:iCs/>
        </w:rPr>
        <w:t xml:space="preserve"> uma </w:t>
      </w:r>
      <w:r w:rsidR="00291C4D">
        <w:rPr>
          <w:rFonts w:ascii="Times" w:hAnsi="Times"/>
          <w:i/>
        </w:rPr>
        <w:t xml:space="preserve">unidade económica </w:t>
      </w:r>
      <w:r w:rsidR="00291C4D">
        <w:rPr>
          <w:rFonts w:ascii="Times" w:hAnsi="Times"/>
          <w:iCs/>
        </w:rPr>
        <w:t>entre ambos, sendo os dois requisitos cumulativos. Mesmo</w:t>
      </w:r>
      <w:r w:rsidR="00F80D99">
        <w:rPr>
          <w:rFonts w:ascii="Times" w:hAnsi="Times"/>
          <w:iCs/>
        </w:rPr>
        <w:t xml:space="preserve"> </w:t>
      </w:r>
      <w:r w:rsidR="00291C4D">
        <w:rPr>
          <w:rFonts w:ascii="Times" w:hAnsi="Times"/>
          <w:iCs/>
        </w:rPr>
        <w:t>se verifica</w:t>
      </w:r>
      <w:r w:rsidR="00F80D99">
        <w:rPr>
          <w:rFonts w:ascii="Times" w:hAnsi="Times"/>
          <w:iCs/>
        </w:rPr>
        <w:t>ndo</w:t>
      </w:r>
      <w:r w:rsidR="00291C4D">
        <w:rPr>
          <w:rFonts w:ascii="Times" w:hAnsi="Times"/>
          <w:iCs/>
        </w:rPr>
        <w:t xml:space="preserve"> o primeiro dos requisitos, é manifestamente inconcebível que se verifique o segundo, já que</w:t>
      </w:r>
      <w:r w:rsidR="005473BA">
        <w:rPr>
          <w:rFonts w:ascii="Times" w:hAnsi="Times"/>
          <w:iCs/>
        </w:rPr>
        <w:t xml:space="preserve">, primeiro, </w:t>
      </w:r>
      <w:r w:rsidR="00F94A86">
        <w:rPr>
          <w:rFonts w:ascii="Times" w:hAnsi="Times"/>
          <w:iCs/>
        </w:rPr>
        <w:t xml:space="preserve">o contrato de crédito </w:t>
      </w:r>
      <w:r w:rsidR="005473BA">
        <w:rPr>
          <w:rFonts w:ascii="Times" w:hAnsi="Times"/>
          <w:iCs/>
        </w:rPr>
        <w:t xml:space="preserve">não é concedido pelo próprio prestador de serviços, depois, o crédito </w:t>
      </w:r>
      <w:r w:rsidR="00F94A86">
        <w:rPr>
          <w:rFonts w:ascii="Times" w:hAnsi="Times"/>
          <w:iCs/>
        </w:rPr>
        <w:t xml:space="preserve">não tem como escopo </w:t>
      </w:r>
      <w:r w:rsidR="00667DA9">
        <w:rPr>
          <w:rFonts w:ascii="Times" w:hAnsi="Times"/>
          <w:iCs/>
        </w:rPr>
        <w:t>“oficial”</w:t>
      </w:r>
      <w:r w:rsidR="00023ABA">
        <w:rPr>
          <w:rFonts w:ascii="Times" w:hAnsi="Times"/>
          <w:iCs/>
        </w:rPr>
        <w:t xml:space="preserve"> </w:t>
      </w:r>
      <w:r w:rsidR="00F94A86">
        <w:rPr>
          <w:rFonts w:ascii="Times" w:hAnsi="Times"/>
          <w:iCs/>
        </w:rPr>
        <w:t xml:space="preserve">o </w:t>
      </w:r>
      <w:r w:rsidR="00F94A86">
        <w:rPr>
          <w:rFonts w:ascii="Times" w:hAnsi="Times"/>
          <w:i/>
        </w:rPr>
        <w:t xml:space="preserve">pagamento </w:t>
      </w:r>
      <w:r w:rsidR="00F94A86">
        <w:rPr>
          <w:rFonts w:ascii="Times" w:hAnsi="Times"/>
          <w:iCs/>
        </w:rPr>
        <w:t>da empreitada</w:t>
      </w:r>
      <w:r w:rsidR="00023ABA">
        <w:rPr>
          <w:rFonts w:ascii="Times" w:hAnsi="Times"/>
          <w:iCs/>
        </w:rPr>
        <w:t xml:space="preserve"> (isto é, o banco desconhece</w:t>
      </w:r>
      <w:r w:rsidR="00D025DC">
        <w:rPr>
          <w:rFonts w:ascii="Times" w:hAnsi="Times"/>
          <w:iCs/>
        </w:rPr>
        <w:t xml:space="preserve"> - ou não parece ter, contratualmente, de conhecer - </w:t>
      </w:r>
      <w:proofErr w:type="spellStart"/>
      <w:r w:rsidR="00023ABA">
        <w:rPr>
          <w:rFonts w:ascii="Times" w:hAnsi="Times"/>
          <w:iCs/>
        </w:rPr>
        <w:t>o</w:t>
      </w:r>
      <w:proofErr w:type="spellEnd"/>
      <w:r w:rsidR="00023ABA">
        <w:rPr>
          <w:rFonts w:ascii="Times" w:hAnsi="Times"/>
          <w:iCs/>
        </w:rPr>
        <w:t xml:space="preserve"> fim a dar ao dinheiro mutuado a M.)</w:t>
      </w:r>
      <w:r w:rsidR="00F94A86">
        <w:rPr>
          <w:rFonts w:ascii="Times" w:hAnsi="Times"/>
          <w:iCs/>
        </w:rPr>
        <w:t xml:space="preserve">, </w:t>
      </w:r>
      <w:r w:rsidR="005473BA">
        <w:rPr>
          <w:rFonts w:ascii="Times" w:hAnsi="Times"/>
          <w:iCs/>
        </w:rPr>
        <w:t xml:space="preserve">e, por último, </w:t>
      </w:r>
      <w:r w:rsidR="00F94A86">
        <w:rPr>
          <w:rFonts w:ascii="Times" w:hAnsi="Times"/>
          <w:iCs/>
        </w:rPr>
        <w:t>n</w:t>
      </w:r>
      <w:r w:rsidR="005473BA">
        <w:rPr>
          <w:rFonts w:ascii="Times" w:hAnsi="Times"/>
          <w:iCs/>
        </w:rPr>
        <w:t>ão</w:t>
      </w:r>
      <w:r w:rsidR="00F94A86">
        <w:rPr>
          <w:rFonts w:ascii="Times" w:hAnsi="Times"/>
          <w:iCs/>
        </w:rPr>
        <w:t xml:space="preserve"> parece haver relação (: parceria) entre o banco e a H.S</w:t>
      </w:r>
      <w:r w:rsidR="00023ABA">
        <w:rPr>
          <w:rFonts w:ascii="Times" w:hAnsi="Times"/>
          <w:iCs/>
        </w:rPr>
        <w:t xml:space="preserve"> materializada na operação de financiamento</w:t>
      </w:r>
      <w:r w:rsidR="00F94A86">
        <w:rPr>
          <w:rFonts w:ascii="Times" w:hAnsi="Times"/>
          <w:iCs/>
        </w:rPr>
        <w:t>.</w:t>
      </w:r>
      <w:r w:rsidR="005473BA">
        <w:rPr>
          <w:rFonts w:ascii="Times" w:hAnsi="Times"/>
          <w:iCs/>
        </w:rPr>
        <w:t xml:space="preserve"> Tudo isto aponta indubitavelmente para uma falta de </w:t>
      </w:r>
      <w:r w:rsidR="005473BA">
        <w:rPr>
          <w:rFonts w:ascii="Times" w:hAnsi="Times"/>
          <w:i/>
        </w:rPr>
        <w:t>sinalagma</w:t>
      </w:r>
      <w:r w:rsidR="005473BA">
        <w:rPr>
          <w:rFonts w:ascii="Times" w:hAnsi="Times"/>
          <w:iCs/>
        </w:rPr>
        <w:t xml:space="preserve">, ou </w:t>
      </w:r>
      <w:r w:rsidR="005473BA">
        <w:rPr>
          <w:rFonts w:ascii="Times" w:hAnsi="Times"/>
          <w:i/>
        </w:rPr>
        <w:t>união</w:t>
      </w:r>
      <w:r w:rsidR="005473BA">
        <w:rPr>
          <w:rFonts w:ascii="Times" w:hAnsi="Times"/>
          <w:iCs/>
        </w:rPr>
        <w:t>/</w:t>
      </w:r>
      <w:r w:rsidR="005473BA">
        <w:rPr>
          <w:rFonts w:ascii="Times" w:hAnsi="Times"/>
          <w:i/>
        </w:rPr>
        <w:t>coligação</w:t>
      </w:r>
      <w:r w:rsidR="005473BA">
        <w:rPr>
          <w:rFonts w:ascii="Times" w:hAnsi="Times"/>
          <w:iCs/>
        </w:rPr>
        <w:t xml:space="preserve"> entre ambos os contratos, o que faz com que, verificadas as desconformidades no seio do contrato de </w:t>
      </w:r>
      <w:r w:rsidR="005473BA">
        <w:rPr>
          <w:rFonts w:ascii="Times" w:hAnsi="Times"/>
          <w:iCs/>
        </w:rPr>
        <w:lastRenderedPageBreak/>
        <w:t xml:space="preserve">prestação de serviços, M. não se possa fazer valer </w:t>
      </w:r>
      <w:r w:rsidR="00E7286C">
        <w:rPr>
          <w:rFonts w:ascii="Times" w:hAnsi="Times"/>
          <w:iCs/>
        </w:rPr>
        <w:t>da exceção de não cumprimento, da redução do montante do crédito ou da sua resolução. Nem sequer se coloca, ainda, a opção pelo direito de arrependimento, já que se passaram já mais de “14 dias de calendário”</w:t>
      </w:r>
      <w:r w:rsidR="006C1DAE">
        <w:rPr>
          <w:rFonts w:ascii="Times" w:hAnsi="Times"/>
          <w:iCs/>
        </w:rPr>
        <w:t xml:space="preserve"> (</w:t>
      </w:r>
      <w:proofErr w:type="spellStart"/>
      <w:r w:rsidR="006C1DAE">
        <w:rPr>
          <w:rFonts w:ascii="Times" w:hAnsi="Times"/>
          <w:iCs/>
        </w:rPr>
        <w:t>art</w:t>
      </w:r>
      <w:proofErr w:type="spellEnd"/>
      <w:r w:rsidR="006C1DAE">
        <w:rPr>
          <w:rFonts w:ascii="Times" w:hAnsi="Times"/>
          <w:iCs/>
        </w:rPr>
        <w:t xml:space="preserve">. 17.º). </w:t>
      </w:r>
    </w:p>
    <w:sectPr w:rsidR="00B06032" w:rsidRPr="005473BA" w:rsidSect="00770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09C6"/>
    <w:multiLevelType w:val="hybridMultilevel"/>
    <w:tmpl w:val="D0B669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84EE7"/>
    <w:multiLevelType w:val="hybridMultilevel"/>
    <w:tmpl w:val="1FB6CD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2A82"/>
    <w:multiLevelType w:val="hybridMultilevel"/>
    <w:tmpl w:val="98186A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B797D"/>
    <w:multiLevelType w:val="hybridMultilevel"/>
    <w:tmpl w:val="71C89B7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9B"/>
    <w:rsid w:val="000034E1"/>
    <w:rsid w:val="00023ABA"/>
    <w:rsid w:val="00027DFB"/>
    <w:rsid w:val="00043990"/>
    <w:rsid w:val="00065655"/>
    <w:rsid w:val="000C5A54"/>
    <w:rsid w:val="00117FE7"/>
    <w:rsid w:val="001501EB"/>
    <w:rsid w:val="001A3318"/>
    <w:rsid w:val="001E7954"/>
    <w:rsid w:val="002023D8"/>
    <w:rsid w:val="00243BB1"/>
    <w:rsid w:val="00251788"/>
    <w:rsid w:val="00291C4D"/>
    <w:rsid w:val="002B7A6B"/>
    <w:rsid w:val="002E067A"/>
    <w:rsid w:val="002E523A"/>
    <w:rsid w:val="00303530"/>
    <w:rsid w:val="00345D88"/>
    <w:rsid w:val="0037470E"/>
    <w:rsid w:val="00374A2D"/>
    <w:rsid w:val="0038520A"/>
    <w:rsid w:val="00387E68"/>
    <w:rsid w:val="00397BFA"/>
    <w:rsid w:val="00404D2C"/>
    <w:rsid w:val="004144DC"/>
    <w:rsid w:val="004347FB"/>
    <w:rsid w:val="00473EC2"/>
    <w:rsid w:val="00482283"/>
    <w:rsid w:val="00487BF1"/>
    <w:rsid w:val="004F702A"/>
    <w:rsid w:val="005473BA"/>
    <w:rsid w:val="00590749"/>
    <w:rsid w:val="005B5ADF"/>
    <w:rsid w:val="005F6382"/>
    <w:rsid w:val="00667DA9"/>
    <w:rsid w:val="006A2BC4"/>
    <w:rsid w:val="006C1DAE"/>
    <w:rsid w:val="00735385"/>
    <w:rsid w:val="00757D41"/>
    <w:rsid w:val="0077077B"/>
    <w:rsid w:val="00770B7E"/>
    <w:rsid w:val="007B045C"/>
    <w:rsid w:val="007D6447"/>
    <w:rsid w:val="007E12D5"/>
    <w:rsid w:val="007F5387"/>
    <w:rsid w:val="007F6145"/>
    <w:rsid w:val="00811D19"/>
    <w:rsid w:val="00855305"/>
    <w:rsid w:val="00871E81"/>
    <w:rsid w:val="008A250F"/>
    <w:rsid w:val="008C53C6"/>
    <w:rsid w:val="008E1A66"/>
    <w:rsid w:val="00922EED"/>
    <w:rsid w:val="00941A9B"/>
    <w:rsid w:val="0095392B"/>
    <w:rsid w:val="009739A6"/>
    <w:rsid w:val="00986F3D"/>
    <w:rsid w:val="009C05F1"/>
    <w:rsid w:val="009D099B"/>
    <w:rsid w:val="009F0DFD"/>
    <w:rsid w:val="009F48CC"/>
    <w:rsid w:val="009F6B7B"/>
    <w:rsid w:val="00A02C5E"/>
    <w:rsid w:val="00A50596"/>
    <w:rsid w:val="00A71966"/>
    <w:rsid w:val="00A837E1"/>
    <w:rsid w:val="00A91DAD"/>
    <w:rsid w:val="00A965D4"/>
    <w:rsid w:val="00B06032"/>
    <w:rsid w:val="00B26173"/>
    <w:rsid w:val="00B37613"/>
    <w:rsid w:val="00B441B6"/>
    <w:rsid w:val="00B66B45"/>
    <w:rsid w:val="00B91428"/>
    <w:rsid w:val="00BA0501"/>
    <w:rsid w:val="00BF2C01"/>
    <w:rsid w:val="00CA066B"/>
    <w:rsid w:val="00CA2A49"/>
    <w:rsid w:val="00CE0B51"/>
    <w:rsid w:val="00CE2986"/>
    <w:rsid w:val="00CF0CA7"/>
    <w:rsid w:val="00D025DC"/>
    <w:rsid w:val="00DD498E"/>
    <w:rsid w:val="00E2635C"/>
    <w:rsid w:val="00E352A8"/>
    <w:rsid w:val="00E7286C"/>
    <w:rsid w:val="00E8001B"/>
    <w:rsid w:val="00EA0CE4"/>
    <w:rsid w:val="00EA68E7"/>
    <w:rsid w:val="00EE5EC6"/>
    <w:rsid w:val="00EF7379"/>
    <w:rsid w:val="00F13BF3"/>
    <w:rsid w:val="00F47680"/>
    <w:rsid w:val="00F513EE"/>
    <w:rsid w:val="00F80D99"/>
    <w:rsid w:val="00F94A86"/>
    <w:rsid w:val="00FA0F79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571A90"/>
  <w15:chartTrackingRefBased/>
  <w15:docId w15:val="{9F713543-5A99-1A46-A0F3-B27D04C4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941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41A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7F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DUARTE</dc:creator>
  <cp:keywords/>
  <dc:description/>
  <cp:lastModifiedBy>JOÃO DUARTE</cp:lastModifiedBy>
  <cp:revision>97</cp:revision>
  <dcterms:created xsi:type="dcterms:W3CDTF">2020-05-04T14:57:00Z</dcterms:created>
  <dcterms:modified xsi:type="dcterms:W3CDTF">2020-05-04T16:27:00Z</dcterms:modified>
</cp:coreProperties>
</file>