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3D" w:rsidRDefault="0054393D" w:rsidP="005439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93D">
        <w:rPr>
          <w:rFonts w:ascii="Times New Roman" w:hAnsi="Times New Roman" w:cs="Times New Roman"/>
          <w:sz w:val="24"/>
          <w:szCs w:val="24"/>
        </w:rPr>
        <w:t>I</w:t>
      </w:r>
      <w:r w:rsidRPr="0054393D">
        <w:rPr>
          <w:rFonts w:ascii="Times New Roman" w:hAnsi="Times New Roman" w:cs="Times New Roman"/>
          <w:sz w:val="24"/>
          <w:szCs w:val="24"/>
        </w:rPr>
        <w:cr/>
      </w:r>
    </w:p>
    <w:p w:rsidR="0054393D" w:rsidRDefault="0054393D" w:rsidP="005439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3D">
        <w:rPr>
          <w:rFonts w:ascii="Times New Roman" w:hAnsi="Times New Roman" w:cs="Times New Roman"/>
          <w:sz w:val="24"/>
          <w:szCs w:val="24"/>
        </w:rPr>
        <w:t>Pronuncie-se, a partir de exemplos concretos por si escolhidos (extraídos do Código Penal ou de legislação penal avulsa), sobre a compatib</w:t>
      </w:r>
      <w:bookmarkStart w:id="0" w:name="_GoBack"/>
      <w:bookmarkEnd w:id="0"/>
      <w:r w:rsidRPr="0054393D">
        <w:rPr>
          <w:rFonts w:ascii="Times New Roman" w:hAnsi="Times New Roman" w:cs="Times New Roman"/>
          <w:sz w:val="24"/>
          <w:szCs w:val="24"/>
        </w:rPr>
        <w:t>ilidade com a Constituição das chamadas “normas penais em branco”.</w:t>
      </w:r>
      <w:r w:rsidRPr="0054393D">
        <w:rPr>
          <w:rFonts w:ascii="Times New Roman" w:hAnsi="Times New Roman" w:cs="Times New Roman"/>
          <w:sz w:val="24"/>
          <w:szCs w:val="24"/>
        </w:rPr>
        <w:cr/>
      </w:r>
    </w:p>
    <w:p w:rsidR="0054393D" w:rsidRDefault="0054393D" w:rsidP="005439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93D">
        <w:rPr>
          <w:rFonts w:ascii="Times New Roman" w:hAnsi="Times New Roman" w:cs="Times New Roman"/>
          <w:sz w:val="24"/>
          <w:szCs w:val="24"/>
        </w:rPr>
        <w:t>II</w:t>
      </w:r>
      <w:r w:rsidRPr="0054393D">
        <w:rPr>
          <w:rFonts w:ascii="Times New Roman" w:hAnsi="Times New Roman" w:cs="Times New Roman"/>
          <w:sz w:val="24"/>
          <w:szCs w:val="24"/>
        </w:rPr>
        <w:cr/>
      </w:r>
    </w:p>
    <w:p w:rsidR="00B3214E" w:rsidRDefault="0054393D" w:rsidP="005439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3D">
        <w:rPr>
          <w:rFonts w:ascii="Times New Roman" w:hAnsi="Times New Roman" w:cs="Times New Roman"/>
          <w:sz w:val="24"/>
          <w:szCs w:val="24"/>
        </w:rPr>
        <w:t>A, português, residente habitualmente em Portugal, encontrando-se casualmente na Alemanha, cede a B, emigrante português naquele país, a arma com que este se mata. Comete assim o crime de auxílio ao suicídio previsto no artigo 135º do Código Penal. À data da prática dos factos (1 de Janeiro de 2020), o auxílio ao suicídio não era punido na Alemanha. Imaginando que A é encontrado em Portugal, diga se ele pode cá ser julgado e punido pelo facto praticado naquele país.</w:t>
      </w:r>
    </w:p>
    <w:p w:rsidR="0054393D" w:rsidRDefault="0054393D" w:rsidP="005439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93D" w:rsidRDefault="0054393D" w:rsidP="005439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93D">
        <w:rPr>
          <w:rFonts w:ascii="Times New Roman" w:hAnsi="Times New Roman" w:cs="Times New Roman"/>
          <w:sz w:val="24"/>
          <w:szCs w:val="24"/>
        </w:rPr>
        <w:t>III</w:t>
      </w:r>
      <w:r w:rsidRPr="0054393D">
        <w:rPr>
          <w:rFonts w:ascii="Times New Roman" w:hAnsi="Times New Roman" w:cs="Times New Roman"/>
          <w:sz w:val="24"/>
          <w:szCs w:val="24"/>
        </w:rPr>
        <w:cr/>
      </w:r>
    </w:p>
    <w:p w:rsidR="0054393D" w:rsidRDefault="0054393D" w:rsidP="005439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3D">
        <w:rPr>
          <w:rFonts w:ascii="Times New Roman" w:hAnsi="Times New Roman" w:cs="Times New Roman"/>
          <w:sz w:val="24"/>
          <w:szCs w:val="24"/>
        </w:rPr>
        <w:t>Imagine que a lei X punia certo facto com pena de prisão de 2 a 10 anos. Imagine ainda que essa lei foi, entretanto, revogada pela lei Y que prevê para o mesmo facto pena de 3 a 8 anos. Qual a lei aplicável a Paulo, que praticou esse facto à luz da Lei X mas vai ser julgado já na vigência da lei Y? Se a lei Y entrasse em vigor já depois de Paulo ter sido condenado, por decisão transitada em julgado, a uma pena de 9 anos, poderia ainda assim beneficiar da sua aplicação retroativa? Em que termos?</w:t>
      </w:r>
      <w:r w:rsidRPr="0054393D">
        <w:rPr>
          <w:rFonts w:ascii="Times New Roman" w:hAnsi="Times New Roman" w:cs="Times New Roman"/>
          <w:sz w:val="24"/>
          <w:szCs w:val="24"/>
        </w:rPr>
        <w:cr/>
      </w:r>
    </w:p>
    <w:p w:rsidR="0054393D" w:rsidRDefault="0054393D" w:rsidP="005439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93D">
        <w:rPr>
          <w:rFonts w:ascii="Times New Roman" w:hAnsi="Times New Roman" w:cs="Times New Roman"/>
          <w:sz w:val="24"/>
          <w:szCs w:val="24"/>
        </w:rPr>
        <w:t>IV</w:t>
      </w:r>
      <w:r w:rsidRPr="0054393D">
        <w:rPr>
          <w:rFonts w:ascii="Times New Roman" w:hAnsi="Times New Roman" w:cs="Times New Roman"/>
          <w:sz w:val="24"/>
          <w:szCs w:val="24"/>
        </w:rPr>
        <w:cr/>
      </w:r>
    </w:p>
    <w:p w:rsidR="0054393D" w:rsidRPr="0054393D" w:rsidRDefault="0054393D" w:rsidP="005439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3D">
        <w:rPr>
          <w:rFonts w:ascii="Times New Roman" w:hAnsi="Times New Roman" w:cs="Times New Roman"/>
          <w:sz w:val="24"/>
          <w:szCs w:val="24"/>
        </w:rPr>
        <w:t>A disparou sobre B com intenção de o matar. B não morreu, mas ficou paraplégico para o resto da vida. O Juiz hesita em punir A apenas por uma tentativa de homicídio ou, em concurso efetivo, também por um crime de ofensas à integridade física graves (artigo 144º do Código Penal). Como lhe parece que deve decidir?</w:t>
      </w:r>
    </w:p>
    <w:sectPr w:rsidR="0054393D" w:rsidRPr="005439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64D" w:rsidRDefault="00FF164D" w:rsidP="0054393D">
      <w:pPr>
        <w:spacing w:after="0" w:line="240" w:lineRule="auto"/>
      </w:pPr>
      <w:r>
        <w:separator/>
      </w:r>
    </w:p>
  </w:endnote>
  <w:endnote w:type="continuationSeparator" w:id="0">
    <w:p w:rsidR="00FF164D" w:rsidRDefault="00FF164D" w:rsidP="0054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64D" w:rsidRDefault="00FF164D" w:rsidP="0054393D">
      <w:pPr>
        <w:spacing w:after="0" w:line="240" w:lineRule="auto"/>
      </w:pPr>
      <w:r>
        <w:separator/>
      </w:r>
    </w:p>
  </w:footnote>
  <w:footnote w:type="continuationSeparator" w:id="0">
    <w:p w:rsidR="00FF164D" w:rsidRDefault="00FF164D" w:rsidP="0054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3D" w:rsidRPr="0054393D" w:rsidRDefault="0054393D" w:rsidP="0054393D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EXAME DE </w:t>
    </w:r>
    <w:r w:rsidRPr="0054393D">
      <w:rPr>
        <w:rFonts w:ascii="Times New Roman" w:hAnsi="Times New Roman" w:cs="Times New Roman"/>
      </w:rPr>
      <w:t xml:space="preserve">TEORIA DA LEI PENAL </w:t>
    </w:r>
    <w:r>
      <w:rPr>
        <w:rFonts w:ascii="Times New Roman" w:hAnsi="Times New Roman" w:cs="Times New Roman"/>
      </w:rPr>
      <w:t>– 6 DE JULHO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3D"/>
    <w:rsid w:val="000164F5"/>
    <w:rsid w:val="0054393D"/>
    <w:rsid w:val="009F2CC1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9C09"/>
  <w15:chartTrackingRefBased/>
  <w15:docId w15:val="{D987EC34-DFAD-40C5-8636-39A93708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93D"/>
  </w:style>
  <w:style w:type="paragraph" w:styleId="Footer">
    <w:name w:val="footer"/>
    <w:basedOn w:val="Normal"/>
    <w:link w:val="FooterChar"/>
    <w:uiPriority w:val="99"/>
    <w:unhideWhenUsed/>
    <w:rsid w:val="00543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2020-07-06T15:03:00Z</dcterms:created>
  <dcterms:modified xsi:type="dcterms:W3CDTF">2020-07-06T15:10:00Z</dcterms:modified>
</cp:coreProperties>
</file>